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60" w:rsidRDefault="00E81C60" w:rsidP="00C1662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1662F"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Тема: </w:t>
      </w:r>
      <w:r w:rsidRPr="00C1662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Основні принципи лікування в разі гострих отруєнь лікарськими засобами</w:t>
      </w:r>
    </w:p>
    <w:p w:rsidR="00E81C60" w:rsidRDefault="00E81C60" w:rsidP="00C1662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E81C60" w:rsidRPr="00C1662F" w:rsidRDefault="00E81C60" w:rsidP="00C1662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1662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План</w:t>
      </w:r>
    </w:p>
    <w:p w:rsidR="00E81C60" w:rsidRDefault="00E81C60" w:rsidP="00C1662F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1069" w:right="-2"/>
        <w:jc w:val="both"/>
        <w:rPr>
          <w:rFonts w:ascii="SchoolBookCTT" w:hAnsi="SchoolBookCTT" w:cs="SchoolBookCTT"/>
          <w:sz w:val="24"/>
          <w:szCs w:val="24"/>
          <w:lang w:val="uk-UA" w:eastAsia="ru-RU"/>
        </w:rPr>
      </w:pPr>
    </w:p>
    <w:p w:rsidR="00E81C60" w:rsidRDefault="00E81C60" w:rsidP="00C1662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662F">
        <w:rPr>
          <w:rFonts w:ascii="Times New Roman" w:hAnsi="Times New Roman" w:cs="Times New Roman"/>
          <w:sz w:val="28"/>
          <w:szCs w:val="28"/>
          <w:lang w:val="uk-UA" w:eastAsia="ru-RU"/>
        </w:rPr>
        <w:t>Основні принципи лікування гострих отруєнь лікарськими засобами та ксенобіотиками. Заходи, спрямовані на запобігання всмоктуванню отрути та максимальне видалення її з організму.</w:t>
      </w:r>
    </w:p>
    <w:p w:rsidR="00E81C60" w:rsidRPr="00C1662F" w:rsidRDefault="00E81C60" w:rsidP="00C1662F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81C60" w:rsidRDefault="00E81C60" w:rsidP="00C1662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66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Специфічне знешкодження отрути. Застосування антидотів, функціональних антагоністів, стимуляторів фізіологічних функцій. Заходи, спрямовані на прискорення видалення отрути з організму (гемодіаліз, перитонеальний діаліз, гемосорбція, форсований діурез). </w:t>
      </w:r>
    </w:p>
    <w:p w:rsidR="00E81C60" w:rsidRPr="00C1662F" w:rsidRDefault="00E81C60" w:rsidP="00C1662F">
      <w:pPr>
        <w:pStyle w:val="ListParagrap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81C60" w:rsidRDefault="00E81C60" w:rsidP="00C1662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662F">
        <w:rPr>
          <w:rFonts w:ascii="Times New Roman" w:hAnsi="Times New Roman" w:cs="Times New Roman"/>
          <w:sz w:val="28"/>
          <w:szCs w:val="28"/>
          <w:lang w:val="uk-UA" w:eastAsia="ru-RU"/>
        </w:rPr>
        <w:t>Характеристика засобів невідкладної допомоги в разі пригнічення дихання, колапсу, гострої серцевої недостатності, спазму бронхів.</w:t>
      </w:r>
    </w:p>
    <w:p w:rsidR="00E81C60" w:rsidRPr="00C1662F" w:rsidRDefault="00E81C60" w:rsidP="00C1662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81C60" w:rsidRPr="00C1662F" w:rsidRDefault="00E81C60" w:rsidP="00C1662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662F">
        <w:rPr>
          <w:rFonts w:ascii="Times New Roman" w:hAnsi="Times New Roman" w:cs="Times New Roman"/>
          <w:sz w:val="28"/>
          <w:szCs w:val="28"/>
          <w:lang w:val="uk-UA" w:eastAsia="ru-RU"/>
        </w:rPr>
        <w:t>Особливості застосування цих засобів у гострому періоді отруєння.</w:t>
      </w:r>
    </w:p>
    <w:p w:rsidR="00E81C60" w:rsidRPr="00C1662F" w:rsidRDefault="00E81C60" w:rsidP="00C1662F">
      <w:pPr>
        <w:ind w:firstLine="426"/>
        <w:rPr>
          <w:lang w:val="uk-UA"/>
        </w:rPr>
      </w:pPr>
      <w:bookmarkStart w:id="0" w:name="_GoBack"/>
      <w:bookmarkEnd w:id="0"/>
    </w:p>
    <w:sectPr w:rsidR="00E81C60" w:rsidRPr="00C1662F" w:rsidSect="0005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6274"/>
    <w:multiLevelType w:val="hybridMultilevel"/>
    <w:tmpl w:val="DC624B7A"/>
    <w:lvl w:ilvl="0" w:tplc="61A0B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2F5"/>
    <w:rsid w:val="00054703"/>
    <w:rsid w:val="004752F5"/>
    <w:rsid w:val="005E5594"/>
    <w:rsid w:val="00633135"/>
    <w:rsid w:val="00C1662F"/>
    <w:rsid w:val="00C47C46"/>
    <w:rsid w:val="00E8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0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6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610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Основні принципи лікування в разі гострих отруєнь лікарськими засобами</dc:title>
  <dc:subject/>
  <dc:creator>User</dc:creator>
  <cp:keywords/>
  <dc:description/>
  <cp:lastModifiedBy>ndemchenko</cp:lastModifiedBy>
  <cp:revision>2</cp:revision>
  <dcterms:created xsi:type="dcterms:W3CDTF">2020-03-20T08:58:00Z</dcterms:created>
  <dcterms:modified xsi:type="dcterms:W3CDTF">2020-03-20T08:58:00Z</dcterms:modified>
</cp:coreProperties>
</file>