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fldChar w:fldCharType="begin"/>
      </w:r>
      <w:r w:rsidRPr="009E1944">
        <w:rPr>
          <w:rFonts w:ascii="Times New Roman" w:eastAsia="Times New Roman" w:hAnsi="Times New Roman" w:cs="Times New Roman"/>
          <w:sz w:val="24"/>
          <w:szCs w:val="24"/>
          <w:lang w:eastAsia="ru-RU"/>
        </w:rPr>
        <w:instrText xml:space="preserve"> HYPERLINK "https://office.naqa.gov.ua/" </w:instrText>
      </w:r>
      <w:r w:rsidRPr="009E1944">
        <w:rPr>
          <w:rFonts w:ascii="Times New Roman" w:eastAsia="Times New Roman" w:hAnsi="Times New Roman" w:cs="Times New Roman"/>
          <w:sz w:val="24"/>
          <w:szCs w:val="24"/>
          <w:lang w:eastAsia="ru-RU"/>
        </w:rPr>
        <w:fldChar w:fldCharType="separate"/>
      </w:r>
      <w:r w:rsidRPr="009E1944">
        <w:rPr>
          <w:rFonts w:ascii="Times New Roman" w:eastAsia="Times New Roman" w:hAnsi="Times New Roman" w:cs="Times New Roman"/>
          <w:color w:val="0000FF"/>
          <w:sz w:val="24"/>
          <w:szCs w:val="24"/>
          <w:u w:val="single"/>
          <w:lang w:eastAsia="ru-RU"/>
        </w:rPr>
        <w:t>Головна</w:t>
      </w:r>
      <w:r w:rsidRPr="009E1944">
        <w:rPr>
          <w:rFonts w:ascii="Times New Roman" w:eastAsia="Times New Roman" w:hAnsi="Times New Roman" w:cs="Times New Roman"/>
          <w:sz w:val="24"/>
          <w:szCs w:val="24"/>
          <w:lang w:eastAsia="ru-RU"/>
        </w:rPr>
        <w:fldChar w:fldCharType="end"/>
      </w:r>
    </w:p>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4" w:history="1">
        <w:r w:rsidRPr="009E1944">
          <w:rPr>
            <w:rFonts w:ascii="Times New Roman" w:eastAsia="Times New Roman" w:hAnsi="Times New Roman" w:cs="Times New Roman"/>
            <w:color w:val="0000FF"/>
            <w:sz w:val="24"/>
            <w:szCs w:val="24"/>
            <w:u w:val="single"/>
            <w:lang w:eastAsia="ru-RU"/>
          </w:rPr>
          <w:t>Створити форму СО</w:t>
        </w:r>
      </w:hyperlink>
    </w:p>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Вихід</w:t>
      </w:r>
    </w:p>
    <w:p w:rsidR="009E1944" w:rsidRPr="009E1944" w:rsidRDefault="009E1944" w:rsidP="009E1944">
      <w:pPr>
        <w:spacing w:after="100" w:afterAutospacing="1" w:line="240" w:lineRule="auto"/>
        <w:outlineLvl w:val="0"/>
        <w:rPr>
          <w:rFonts w:ascii="Times New Roman" w:eastAsia="Times New Roman" w:hAnsi="Times New Roman" w:cs="Times New Roman"/>
          <w:kern w:val="36"/>
          <w:sz w:val="48"/>
          <w:szCs w:val="48"/>
          <w:lang w:eastAsia="ru-RU"/>
        </w:rPr>
      </w:pPr>
      <w:r w:rsidRPr="009E1944">
        <w:rPr>
          <w:rFonts w:ascii="Times New Roman" w:eastAsia="Times New Roman" w:hAnsi="Times New Roman" w:cs="Times New Roman"/>
          <w:kern w:val="36"/>
          <w:sz w:val="48"/>
          <w:szCs w:val="48"/>
          <w:lang w:eastAsia="ru-RU"/>
        </w:rPr>
        <w:t>Відомості про самооцінювання</w:t>
      </w:r>
    </w:p>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Загальні відомості</w:t>
      </w:r>
    </w:p>
    <w:tbl>
      <w:tblPr>
        <w:tblW w:w="11340" w:type="dxa"/>
        <w:tblCellMar>
          <w:top w:w="15" w:type="dxa"/>
          <w:left w:w="15" w:type="dxa"/>
          <w:bottom w:w="15" w:type="dxa"/>
          <w:right w:w="15" w:type="dxa"/>
        </w:tblCellMar>
        <w:tblLook w:val="04A0" w:firstRow="1" w:lastRow="0" w:firstColumn="1" w:lastColumn="0" w:noHBand="0" w:noVBand="1"/>
      </w:tblPr>
      <w:tblGrid>
        <w:gridCol w:w="4529"/>
        <w:gridCol w:w="6811"/>
      </w:tblGrid>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shd w:val="clear" w:color="auto" w:fill="F7F7F7"/>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Реєстраційний номер ЗВО у ЄДЕБО</w:t>
            </w:r>
          </w:p>
        </w:tc>
        <w:tc>
          <w:tcPr>
            <w:tcW w:w="2835" w:type="dxa"/>
            <w:tcBorders>
              <w:top w:val="single" w:sz="6" w:space="0" w:color="DEE2E6"/>
              <w:left w:val="single" w:sz="6" w:space="0" w:color="DEE2E6"/>
              <w:bottom w:val="single" w:sz="6" w:space="0" w:color="DEE2E6"/>
              <w:right w:val="single" w:sz="6" w:space="0" w:color="DEE2E6"/>
            </w:tcBorders>
            <w:shd w:val="clear" w:color="auto" w:fill="F7F7F7"/>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48</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Повна назва ЗВО</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Херсонський державний університет</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Ідентифікаційний код ЗВО</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02125609</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ПІБ керівника ЗВО</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Співаковський Олександр Володимирович</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Посилання на офіційний </w:t>
            </w:r>
            <w:proofErr w:type="gramStart"/>
            <w:r w:rsidRPr="009E1944">
              <w:rPr>
                <w:rFonts w:ascii="Times New Roman" w:eastAsia="Times New Roman" w:hAnsi="Times New Roman" w:cs="Times New Roman"/>
                <w:b/>
                <w:bCs/>
                <w:color w:val="212529"/>
                <w:sz w:val="24"/>
                <w:szCs w:val="24"/>
                <w:lang w:eastAsia="ru-RU"/>
              </w:rPr>
              <w:t>веб-сайт</w:t>
            </w:r>
            <w:proofErr w:type="gramEnd"/>
            <w:r w:rsidRPr="009E1944">
              <w:rPr>
                <w:rFonts w:ascii="Times New Roman" w:eastAsia="Times New Roman" w:hAnsi="Times New Roman" w:cs="Times New Roman"/>
                <w:b/>
                <w:bCs/>
                <w:color w:val="212529"/>
                <w:sz w:val="24"/>
                <w:szCs w:val="24"/>
                <w:lang w:eastAsia="ru-RU"/>
              </w:rPr>
              <w:t xml:space="preserve"> ЗВО</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www.ksu.ks.ua</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Реєстраційний номер ВСП ЗВО у ЄДЕБО</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shd w:val="clear" w:color="auto" w:fill="F7F7F7"/>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ID освітньої програми в ЄДЕБО</w:t>
            </w:r>
          </w:p>
        </w:tc>
        <w:tc>
          <w:tcPr>
            <w:tcW w:w="2835" w:type="dxa"/>
            <w:tcBorders>
              <w:top w:val="single" w:sz="6" w:space="0" w:color="DEE2E6"/>
              <w:left w:val="single" w:sz="6" w:space="0" w:color="DEE2E6"/>
              <w:bottom w:val="single" w:sz="6" w:space="0" w:color="DEE2E6"/>
              <w:right w:val="single" w:sz="6" w:space="0" w:color="DEE2E6"/>
            </w:tcBorders>
            <w:shd w:val="clear" w:color="auto" w:fill="F7F7F7"/>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27687</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Назва ОП</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Середня освіта (біологія та здоров`я людини)</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Реквізити рішення про ліцензування спеціальності на відповідному рівні вищої освіти</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Наказ МОН від 13.06.2018 року № 1253-л</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Цикл (рівень вищої освіти)</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Магістр</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Галузь знань, спеціальність</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01 Освіта/Педагогіка</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Спеціалізація</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014 Середня освіта</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Структурний підрозділ, що забезпечує реалізацію ОП</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Кафедра біології людини та імунології</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Професійна кваліфікація, яка присвоюється за ОП (за наявності)</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Вчитель біології та основ здоров'я</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Мова (мови) викладання</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Українська</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ПІБ та посада гаранта ОП</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Сидорович Марина Михайлівна, професор кафедри біології людини і імунології</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Загальні відомості про ОП, історію її розроблення та впровадження</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Розробка ОП Середня освіта (Біологія та здоров’я людини) пов’язана з наказом МОН № 1368 від 12.10.2017 р. https://zakon.rada.gov.ua/laws/show/z1344-17, у якому позицію 014.05 Середня освіта (Біологія) доповнені словами «здоров’я людини». ОП Середня освіта (Біологоія та здоров’я людини) створена на базі ОП Середня освіта (Біологія), що існує в ХДУ з 2016 р. Метою ОП є формування компетентностей в галузях педагогіки та методики вищої і середньої освіти та сучасної біологічної науки, для реалізації самостійної професійної діяльності. Вказане є неможливим без підвищення якості освіти, постійного оновлення освітніх компонентів на основі наукових досягнень і сучасного педагогічного доробку, створення середовища академічної мобільності. Динаміка процесів у суспільстві (зменшення народжуваності, міграція населення) призводить до зміни контингенту учнів у закладах середньої освіти, що не може не відобразитися на навантаженні вчителя-предметника. Стають більш затребувані вчителі, що викладають декілька дисциплін. Програмні результати ОП Середня освіта (Біологія та здоров’я людини) дозволять здобувачам працювати вчителем біології та вчителем основ здоров’я. У програмних </w:t>
            </w:r>
            <w:r w:rsidRPr="009E1944">
              <w:rPr>
                <w:rFonts w:ascii="Times New Roman" w:eastAsia="Times New Roman" w:hAnsi="Times New Roman" w:cs="Times New Roman"/>
                <w:color w:val="212529"/>
                <w:sz w:val="24"/>
                <w:szCs w:val="24"/>
                <w:lang w:eastAsia="ru-RU"/>
              </w:rPr>
              <w:lastRenderedPageBreak/>
              <w:t>результатах ОП врахований регіональний компонент крізь особливості флори і фауни аграрного регіону, актуальність підготовки учнів до ЗНО з біології для вступу на медичні та аграрні спеціальності. Робота у опорних школах вимагає фахівців з поглибленою підготовкою у галузі здоров’я людини, що забезпечується програмними результатами ОП. Реформування шкільної освіти призводить до того, що утворюється брак спеціалістів, які володіють сучасними педагогічними та методичними прийомами у галузі біології та здоров’я людини, та знають сучасні наукові досягнення у цих галузях. ОП «Середня освіта (Біологія та здоров’я людини)» створює передумови для саморозвитку здобувача засобами новітніх технологій навчання. Набуття вищезазначених компете</w:t>
            </w:r>
            <w:bookmarkStart w:id="0" w:name="_GoBack"/>
            <w:bookmarkEnd w:id="0"/>
            <w:r w:rsidRPr="009E1944">
              <w:rPr>
                <w:rFonts w:ascii="Times New Roman" w:eastAsia="Times New Roman" w:hAnsi="Times New Roman" w:cs="Times New Roman"/>
                <w:color w:val="212529"/>
                <w:sz w:val="24"/>
                <w:szCs w:val="24"/>
                <w:lang w:eastAsia="ru-RU"/>
              </w:rPr>
              <w:t>нтностей робить випускників ОП конкурентно спроможними на ринку праці.</w:t>
            </w:r>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*Освітня програма</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hyperlink r:id="rId5" w:tgtFrame="_blank" w:history="1">
              <w:r w:rsidRPr="009E1944">
                <w:rPr>
                  <w:rFonts w:ascii="Times New Roman" w:eastAsia="Times New Roman" w:hAnsi="Times New Roman" w:cs="Times New Roman"/>
                  <w:color w:val="0000FF"/>
                  <w:sz w:val="24"/>
                  <w:szCs w:val="24"/>
                  <w:u w:val="single"/>
                  <w:lang w:eastAsia="ru-RU"/>
                </w:rPr>
                <w:t>ОПП 014.05 СО (Біологія та здор) МАГ ОСТАТОЧНО.docx</w:t>
              </w:r>
            </w:hyperlink>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*Навчальний план за ОП</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hyperlink r:id="rId6" w:tgtFrame="_blank" w:history="1">
              <w:r w:rsidRPr="009E1944">
                <w:rPr>
                  <w:rFonts w:ascii="Times New Roman" w:eastAsia="Times New Roman" w:hAnsi="Times New Roman" w:cs="Times New Roman"/>
                  <w:color w:val="0000FF"/>
                  <w:sz w:val="24"/>
                  <w:szCs w:val="24"/>
                  <w:u w:val="single"/>
                  <w:lang w:eastAsia="ru-RU"/>
                </w:rPr>
                <w:t>Навчальний план СО (Б та ЗЛ).pdf</w:t>
              </w:r>
            </w:hyperlink>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Рецензії та відгуки роботодавців</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hyperlink r:id="rId7" w:tgtFrame="_blank" w:history="1">
              <w:r w:rsidRPr="009E1944">
                <w:rPr>
                  <w:rFonts w:ascii="Times New Roman" w:eastAsia="Times New Roman" w:hAnsi="Times New Roman" w:cs="Times New Roman"/>
                  <w:color w:val="0000FF"/>
                  <w:sz w:val="24"/>
                  <w:szCs w:val="24"/>
                  <w:u w:val="single"/>
                  <w:lang w:eastAsia="ru-RU"/>
                </w:rPr>
                <w:t>відгуки.pdf</w:t>
              </w:r>
            </w:hyperlink>
          </w:p>
        </w:tc>
      </w:tr>
      <w:tr w:rsidR="009E1944" w:rsidRPr="009E1944" w:rsidTr="009E1944">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*Заява на проведення акредитації ОП</w:t>
            </w:r>
          </w:p>
        </w:tc>
        <w:tc>
          <w:tcPr>
            <w:tcW w:w="283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hyperlink r:id="rId8" w:tgtFrame="_blank" w:history="1">
              <w:r w:rsidRPr="009E1944">
                <w:rPr>
                  <w:rFonts w:ascii="Times New Roman" w:eastAsia="Times New Roman" w:hAnsi="Times New Roman" w:cs="Times New Roman"/>
                  <w:color w:val="0000FF"/>
                  <w:sz w:val="24"/>
                  <w:szCs w:val="24"/>
                  <w:u w:val="single"/>
                  <w:lang w:eastAsia="ru-RU"/>
                </w:rPr>
                <w:t>014 біолог ФБГЕ маг.pdf.p7s</w:t>
              </w:r>
            </w:hyperlink>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 Проектування та цілі освітньої програми</w:t>
      </w:r>
    </w:p>
    <w:tbl>
      <w:tblPr>
        <w:tblW w:w="11049" w:type="dxa"/>
        <w:tblCellMar>
          <w:top w:w="15" w:type="dxa"/>
          <w:left w:w="15" w:type="dxa"/>
          <w:bottom w:w="15" w:type="dxa"/>
          <w:right w:w="15" w:type="dxa"/>
        </w:tblCellMar>
        <w:tblLook w:val="04A0" w:firstRow="1" w:lastRow="0" w:firstColumn="1" w:lastColumn="0" w:noHBand="0" w:noVBand="1"/>
      </w:tblPr>
      <w:tblGrid>
        <w:gridCol w:w="4103"/>
        <w:gridCol w:w="6946"/>
      </w:tblGrid>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Якими є цілі ОП? У чому полягають особливості (унікальність) цієї програми?</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Формування загальних та фахових компетентностей для виконання професійних завдань та обов’язків освітнього та інноваційного характеру в галузі сучасної біологічної науки, педагогіки та методики вищої і середньої освіти, здатності до самостійної педагогічної діяльності в умовах закладів вищої освіти; створює умови для підготовки вчителів та викладачів, що здатні до викладання з урахуванням умов Південного регіону (велика кількість сільських шкіл, проходження адміністративного кордону, робота з незахищеними категоріями населення тощо). Розробка ОП Середня освіта (Біологія та здоров’я людини) пов’язана з наказом МОН № 1368 від 12.10.2017 р. </w:t>
            </w:r>
            <w:proofErr w:type="gramStart"/>
            <w:r w:rsidRPr="009E1944">
              <w:rPr>
                <w:rFonts w:ascii="Times New Roman" w:eastAsia="Times New Roman" w:hAnsi="Times New Roman" w:cs="Times New Roman"/>
                <w:color w:val="212529"/>
                <w:sz w:val="24"/>
                <w:szCs w:val="24"/>
                <w:lang w:eastAsia="ru-RU"/>
              </w:rPr>
              <w:t>https://zakon.rada.gov.ua/laws/show/z1344-17 ,</w:t>
            </w:r>
            <w:proofErr w:type="gramEnd"/>
            <w:r w:rsidRPr="009E1944">
              <w:rPr>
                <w:rFonts w:ascii="Times New Roman" w:eastAsia="Times New Roman" w:hAnsi="Times New Roman" w:cs="Times New Roman"/>
                <w:color w:val="212529"/>
                <w:sz w:val="24"/>
                <w:szCs w:val="24"/>
                <w:lang w:eastAsia="ru-RU"/>
              </w:rPr>
              <w:t xml:space="preserve"> у якому позицію 014.05 Середня освіта (Біологія) доповнені словами «здоров’я людини». Однією з цілей ОП є створити умови для майбутніх вчителівдля участі їх у науково-дослідній роботі, практична підготовка у Національних парках, власній Агробіостанції, центрах оздоровлення, фітнес центри.</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із посиланням на конкретні документи ЗВО, що цілі ОП відповідають місії та стратегії ЗВО</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Стратегічний план розвитку ХДУ розроблено («Стратегічний план розвитку ХДУ на 2018-2023 рр.»; наказ ХДУ № 672-Д від 03.09.2019 р.) з метою визначення найважливіших напрямів діяльності та заходів, що необхідно здійснити для досягнення університетом стабільних позицій на ринку освітніх послуг. Стратегічний план спрямовано на досягнення трьох ключових цілей. По-перше, підвищення якості освіти, що зробить навчання в університеті стабільно привабливим для здобувачів освіти. </w:t>
            </w:r>
            <w:proofErr w:type="gramStart"/>
            <w:r w:rsidRPr="009E1944">
              <w:rPr>
                <w:rFonts w:ascii="Times New Roman" w:eastAsia="Times New Roman" w:hAnsi="Times New Roman" w:cs="Times New Roman"/>
                <w:color w:val="212529"/>
                <w:sz w:val="24"/>
                <w:szCs w:val="24"/>
                <w:lang w:eastAsia="ru-RU"/>
              </w:rPr>
              <w:t>По-друге</w:t>
            </w:r>
            <w:proofErr w:type="gramEnd"/>
            <w:r w:rsidRPr="009E1944">
              <w:rPr>
                <w:rFonts w:ascii="Times New Roman" w:eastAsia="Times New Roman" w:hAnsi="Times New Roman" w:cs="Times New Roman"/>
                <w:color w:val="212529"/>
                <w:sz w:val="24"/>
                <w:szCs w:val="24"/>
                <w:lang w:eastAsia="ru-RU"/>
              </w:rPr>
              <w:t xml:space="preserve">, створення мотиваційного середовища учасників освітнього процесудля розвитку освіти й науки університету. По-третє, підвищення якості наукової роботи й досліджень, міжнародної діяльності та забезпечення академічної мобільності учасників освітнього процесу. Місія Херсонського державного університету полягає у забезпеченні освіти за рахунок якісних академічних програм, </w:t>
            </w:r>
            <w:r w:rsidRPr="009E1944">
              <w:rPr>
                <w:rFonts w:ascii="Times New Roman" w:eastAsia="Times New Roman" w:hAnsi="Times New Roman" w:cs="Times New Roman"/>
                <w:color w:val="212529"/>
                <w:sz w:val="24"/>
                <w:szCs w:val="24"/>
                <w:lang w:eastAsia="ru-RU"/>
              </w:rPr>
              <w:lastRenderedPageBreak/>
              <w:t>створення умов для самостійної, зокрема, дослідницької роботи. Створення середовища для персонального розвитку через варіативну складову навчальних планів, що дозволить зробити успішною життєву та професійну кар’єри. Метою ОП є формування компетентностей в галузях педагогіки та методики вищої і середньої освіти та сучасної біологічної науки, для реалізації самостійної професійної діяльності. Вказане є неможливим без підвищення якості освіти, постійного оновлення освітніх компонентів на основі наукових досягнень і сучасного педагогічного доробку, створення середовища академічної мобільності.</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яким чином інтереси та пропозиції таких груп заінтересованих сторін (стейкхолдерів) були враховані під час формулювання цілей та програмних результатів навчання ОП:</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100" w:afterAutospacing="1"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b/>
                <w:bCs/>
                <w:i/>
                <w:iCs/>
                <w:color w:val="212529"/>
                <w:sz w:val="24"/>
                <w:szCs w:val="24"/>
                <w:lang w:eastAsia="ru-RU"/>
              </w:rPr>
              <w:t xml:space="preserve">- здобувачі вищої освіти та випускники </w:t>
            </w:r>
            <w:proofErr w:type="gramStart"/>
            <w:r w:rsidRPr="009E1944">
              <w:rPr>
                <w:rFonts w:ascii="Times New Roman" w:eastAsia="Times New Roman" w:hAnsi="Times New Roman" w:cs="Times New Roman"/>
                <w:b/>
                <w:bCs/>
                <w:i/>
                <w:iCs/>
                <w:color w:val="212529"/>
                <w:sz w:val="24"/>
                <w:szCs w:val="24"/>
                <w:lang w:eastAsia="ru-RU"/>
              </w:rPr>
              <w:t>програми</w:t>
            </w:r>
            <w:r w:rsidRPr="009E1944">
              <w:rPr>
                <w:rFonts w:ascii="Times New Roman" w:eastAsia="Times New Roman" w:hAnsi="Times New Roman" w:cs="Times New Roman"/>
                <w:color w:val="212529"/>
                <w:sz w:val="24"/>
                <w:szCs w:val="24"/>
                <w:lang w:eastAsia="ru-RU"/>
              </w:rPr>
              <w:br/>
              <w:t>  Здобувачі</w:t>
            </w:r>
            <w:proofErr w:type="gramEnd"/>
            <w:r w:rsidRPr="009E1944">
              <w:rPr>
                <w:rFonts w:ascii="Times New Roman" w:eastAsia="Times New Roman" w:hAnsi="Times New Roman" w:cs="Times New Roman"/>
                <w:color w:val="212529"/>
                <w:sz w:val="24"/>
                <w:szCs w:val="24"/>
                <w:lang w:eastAsia="ru-RU"/>
              </w:rPr>
              <w:t xml:space="preserve"> вищої освіти, що навчаються за ОП «Середня освіта (Біологія та здоров’я людини)» можуть реалізовувати себе, як вчитель біології, так і, як вчитель основ здоров’я, що збільшує варіанти працевлаштування та робить здобувачів та випускників більш конкурентно спроможними на ринку праці. Випускники за ОП мають можливість працевлаштовуватися у ліцеях, коледжах та ЗВО.</w:t>
            </w:r>
          </w:p>
          <w:p w:rsidR="009E1944" w:rsidRPr="009E1944" w:rsidRDefault="009E1944" w:rsidP="00D56CC5">
            <w:pPr>
              <w:spacing w:after="100" w:afterAutospacing="1"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b/>
                <w:bCs/>
                <w:i/>
                <w:iCs/>
                <w:color w:val="212529"/>
                <w:sz w:val="24"/>
                <w:szCs w:val="24"/>
                <w:lang w:eastAsia="ru-RU"/>
              </w:rPr>
              <w:t xml:space="preserve">- </w:t>
            </w:r>
            <w:proofErr w:type="gramStart"/>
            <w:r w:rsidRPr="009E1944">
              <w:rPr>
                <w:rFonts w:ascii="Times New Roman" w:eastAsia="Times New Roman" w:hAnsi="Times New Roman" w:cs="Times New Roman"/>
                <w:b/>
                <w:bCs/>
                <w:i/>
                <w:iCs/>
                <w:color w:val="212529"/>
                <w:sz w:val="24"/>
                <w:szCs w:val="24"/>
                <w:lang w:eastAsia="ru-RU"/>
              </w:rPr>
              <w:t>роботодавці</w:t>
            </w:r>
            <w:r w:rsidRPr="009E1944">
              <w:rPr>
                <w:rFonts w:ascii="Times New Roman" w:eastAsia="Times New Roman" w:hAnsi="Times New Roman" w:cs="Times New Roman"/>
                <w:color w:val="212529"/>
                <w:sz w:val="24"/>
                <w:szCs w:val="24"/>
                <w:lang w:eastAsia="ru-RU"/>
              </w:rPr>
              <w:br/>
              <w:t>  У</w:t>
            </w:r>
            <w:proofErr w:type="gramEnd"/>
            <w:r w:rsidRPr="009E1944">
              <w:rPr>
                <w:rFonts w:ascii="Times New Roman" w:eastAsia="Times New Roman" w:hAnsi="Times New Roman" w:cs="Times New Roman"/>
                <w:color w:val="212529"/>
                <w:sz w:val="24"/>
                <w:szCs w:val="24"/>
                <w:lang w:eastAsia="ru-RU"/>
              </w:rPr>
              <w:t xml:space="preserve"> навчальних планах закладів середньої освіти є предмет «Основи здоров’я». Проте у зв’язку із накопиченням досліджень у галузі здоров’я людини у роботодавців є необхідність у спеціалістах з цієї галузі. Згідно п.4.4</w:t>
            </w:r>
            <w:proofErr w:type="gramStart"/>
            <w:r w:rsidRPr="009E1944">
              <w:rPr>
                <w:rFonts w:ascii="Times New Roman" w:eastAsia="Times New Roman" w:hAnsi="Times New Roman" w:cs="Times New Roman"/>
                <w:color w:val="212529"/>
                <w:sz w:val="24"/>
                <w:szCs w:val="24"/>
                <w:lang w:eastAsia="ru-RU"/>
              </w:rPr>
              <w:t>. наказу</w:t>
            </w:r>
            <w:proofErr w:type="gramEnd"/>
            <w:r w:rsidRPr="009E1944">
              <w:rPr>
                <w:rFonts w:ascii="Times New Roman" w:eastAsia="Times New Roman" w:hAnsi="Times New Roman" w:cs="Times New Roman"/>
                <w:color w:val="212529"/>
                <w:sz w:val="24"/>
                <w:szCs w:val="24"/>
                <w:lang w:eastAsia="ru-RU"/>
              </w:rPr>
              <w:t xml:space="preserve"> МОН від 01.06.2009 №457 керівникам навчальних закладів необхідно забезпечити викладання предмету «Основи здоров’я» педагогом, який має документ про проходження навчання за методикою розвитку життєвих навичок (ООЖН) на відповідних курсах інститутів післядипломної педагогічної освіти та є непристустимим використання годин, відведених на цей предмет, для довантаження вчителів або класних керівників, що не мають відповідної підготовки для викладання предмета «Основи здоров’я». Працевлаштування випускників ОП Середня освіта (Біологія та здоров’я людини) дозволить керівникам навчальних закладів давати години з предмету «Основи здоров’я» кваліфікованому спеціалісту без необхідності направлення вчителя на додаткове навчання. Отже, ОП містить освітні компоненти, що дозволять здобувачеві набути компетентностеі у галузях біології та методики її навчання, так і у галузі біології людини. Під час укладання ОП були враховані побажання роботодавців (керівників закладів освіти) щодо введення додаткових результатів навчань та освітніх компонентів стосовно основ здоров’я людини (протоколи 7засідання кафедри із запрошеними особами №№ 1 від 21.08.2017 р., 5 від 04.12.2017 р., 1 від 27.08.2018 р., 1 від 27.08.2019 р.).</w:t>
            </w:r>
          </w:p>
          <w:p w:rsidR="009E1944" w:rsidRPr="009E1944" w:rsidRDefault="009E1944" w:rsidP="00D56CC5">
            <w:pPr>
              <w:spacing w:after="100" w:afterAutospacing="1"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b/>
                <w:bCs/>
                <w:i/>
                <w:iCs/>
                <w:color w:val="212529"/>
                <w:sz w:val="24"/>
                <w:szCs w:val="24"/>
                <w:lang w:eastAsia="ru-RU"/>
              </w:rPr>
              <w:t xml:space="preserve">- академічна </w:t>
            </w:r>
            <w:proofErr w:type="gramStart"/>
            <w:r w:rsidRPr="009E1944">
              <w:rPr>
                <w:rFonts w:ascii="Times New Roman" w:eastAsia="Times New Roman" w:hAnsi="Times New Roman" w:cs="Times New Roman"/>
                <w:b/>
                <w:bCs/>
                <w:i/>
                <w:iCs/>
                <w:color w:val="212529"/>
                <w:sz w:val="24"/>
                <w:szCs w:val="24"/>
                <w:lang w:eastAsia="ru-RU"/>
              </w:rPr>
              <w:t>спільнота</w:t>
            </w:r>
            <w:r w:rsidRPr="009E1944">
              <w:rPr>
                <w:rFonts w:ascii="Times New Roman" w:eastAsia="Times New Roman" w:hAnsi="Times New Roman" w:cs="Times New Roman"/>
                <w:color w:val="212529"/>
                <w:sz w:val="24"/>
                <w:szCs w:val="24"/>
                <w:lang w:eastAsia="ru-RU"/>
              </w:rPr>
              <w:br/>
              <w:t>  Підвищення</w:t>
            </w:r>
            <w:proofErr w:type="gramEnd"/>
            <w:r w:rsidRPr="009E1944">
              <w:rPr>
                <w:rFonts w:ascii="Times New Roman" w:eastAsia="Times New Roman" w:hAnsi="Times New Roman" w:cs="Times New Roman"/>
                <w:color w:val="212529"/>
                <w:sz w:val="24"/>
                <w:szCs w:val="24"/>
                <w:lang w:eastAsia="ru-RU"/>
              </w:rPr>
              <w:t xml:space="preserve"> внеску пошукових та дослідницьких методів у професійній підготовці, що сприяє інтенсивному розвитку якостей творчої особистост дослідницьких та здоров’язберігаючих технологій.</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Продемонструйте, яким чином цілі та програмні результати навчання </w:t>
            </w:r>
            <w:r w:rsidRPr="009E1944">
              <w:rPr>
                <w:rFonts w:ascii="Times New Roman" w:eastAsia="Times New Roman" w:hAnsi="Times New Roman" w:cs="Times New Roman"/>
                <w:b/>
                <w:bCs/>
                <w:color w:val="212529"/>
                <w:sz w:val="24"/>
                <w:szCs w:val="24"/>
                <w:lang w:eastAsia="ru-RU"/>
              </w:rPr>
              <w:lastRenderedPageBreak/>
              <w:t>ОП відбивають тенденції розвитку спеціальності та ринку праці</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Динаміка процесів у суспільстві (зменшення народжуваності, міграція населення) призводить до зміни контингенту учнів у </w:t>
            </w:r>
            <w:r w:rsidRPr="009E1944">
              <w:rPr>
                <w:rFonts w:ascii="Times New Roman" w:eastAsia="Times New Roman" w:hAnsi="Times New Roman" w:cs="Times New Roman"/>
                <w:color w:val="212529"/>
                <w:sz w:val="24"/>
                <w:szCs w:val="24"/>
                <w:lang w:eastAsia="ru-RU"/>
              </w:rPr>
              <w:lastRenderedPageBreak/>
              <w:t>закладах середньої освіти, що не може не відобразитися на навантаженні вчителя-предметника. Стають більш затребувані вчителі, що викладають декілька дисциплін. Програмні результати ОП Середня освіта (Біологія та здоров’я людини) дозволять здобувачам працювати вчителем біології та вчителем основ здоров’я. У програмних результатах ОП врахований регіональний компонент крізь особливості флори і фауни аграрного регіону, актуальність підготовки учнів до ЗНО з біології для вступу на медичні та аграрні спеціальності. Робота у опорних школах вимагає фахівців з поглибленою підготовкою у галузі здоров’я людини, що забезпечується програмними результатами ОП. Реформування шкільної освіти призводить до того, що утворюється брак спеціалістів, які володіють сучасними педагогічними та методичними прийомами у галузі біології та здоров’я людини, та знають сучасні наукові досягнення у цих галузях. ОП «Середня освіта (Біологія та здоров’я людини)» створює передумови для саморозвитку здобувача засобами новітніх технологій навчання. Набуття вищезазначених компетентностей робить випускників ОП конкурентно спроможними на ринку праці.</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Продемонструйте, яким чином під час формулювання цілей та програмних результатів навчання ОП було враховано галузевий та регіональний контекст</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Херсонський державний університет – єдиний університет у Херсонській області, який здійснює підготовку вчителів. У Херсоні та Херсонській області велика кількість закладів середньої освіти, що знаходяться у сільській місцевості. Проте у малокомплектних школах вчитель, який викладає один предмет, може не мати повного навантаження. Одночасне набуття компетентностей вчителя біології та вчителя основ здоров’я розширить його можливості майбутньої професійної реалізації. Вказане є мотиваційним чинником для майбутнього працевлаштування за спеціальністю. Прогрес у галузі біологічних наук вимагає постійного оновлення змісту шкільної біологічної освіти, що враховано програмними результатами ОП. Здобувачі ОП зможуть провести якісну підготовку учнів середніх шкіл до складання ЗНО з біології, що є актуальним для Херсонської області https://osvita.ua/school/rating/65359/. Херсонщина на змогла у 2016 році прийняти участь у спільному проекті з розвитку життєвих навичок «Вчимося жити разом», у партнерстві з Громадською організацією «Дитячий фонд «Здоров’я через освіту» та Представництвом дитячого фонду ООН (ЮНІСЕФ) через брак спеціалістів з необхідними компетентностями через те, що ХДУ здійснював підготовку тільки за ОП Середня освіта (Біологія).</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яким чином під час формулювання цілей та програмних результатів навчання ОП було враховано досвід аналогічних вітчизняних та іноземних програм</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Спеціальність 014 Середня освіта (Біологія та здоров’я людини) створенна наказом МОН № 1368 від 12.10.2017 р. https://zakon.rada.gov.ua/laws/show/z1344-17 по всій країні, тому відсутній реальний практичний досвід впровадження аналогічних відчизняних та іноземних освітніх програм. Під час формулювання цілей та програмних результатів ОП був врахований попередні досвід освітніх програм таких, як: Середня освіта (Біологія), Середня освіта (Природознавство). Також при формуванні ОП Середня освіта (Біологія та здоровя людини) аналізували ОПП та ОКХ спеціальності Біологія*.</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Продемонструйте, яким чином ОП дозволяє досягти результатів </w:t>
            </w:r>
            <w:r w:rsidRPr="009E1944">
              <w:rPr>
                <w:rFonts w:ascii="Times New Roman" w:eastAsia="Times New Roman" w:hAnsi="Times New Roman" w:cs="Times New Roman"/>
                <w:b/>
                <w:bCs/>
                <w:color w:val="212529"/>
                <w:sz w:val="24"/>
                <w:szCs w:val="24"/>
                <w:lang w:eastAsia="ru-RU"/>
              </w:rPr>
              <w:lastRenderedPageBreak/>
              <w:t>навчання, визначених стандартом вищої освіти за відповідною спеціальністю та рівнем вищої освіти</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Державний стандарт вищої освіти за ОП Середня освіта (Біологія та здоров’я людини) - відсутній</w:t>
            </w:r>
          </w:p>
        </w:tc>
      </w:tr>
      <w:tr w:rsidR="009E1944" w:rsidRPr="009E1944" w:rsidTr="00D56CC5">
        <w:tc>
          <w:tcPr>
            <w:tcW w:w="4103"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 відповідають вимогам Національної рамки кваліфікацій для відповідного кваліфікаційного рівня?</w:t>
            </w:r>
          </w:p>
        </w:tc>
        <w:tc>
          <w:tcPr>
            <w:tcW w:w="694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Дескрипторами Національної рамки кваліфікацій (НРК) України (Постанова КМУ №1341 від 23.11.2011р.) є: знання; уміння; комунікація; автономність і відповідальність; інтегральна компетентність. Згідно до Національної рамки кваліфікації здобувачі другого (магістерського) рівня вищої освіти мають відповідати наступним вимогам: здатність особи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 Відповідність програмних результатів ОП Середня освіта (Біологія та здоров’я людини) з вимогами Національної рамки кваліфікацій до програмних результатів до другого (магістерського) рівня вищої освіти. Знання: концептуальні наукові та практичні знання; критичне осмислення теорій, принципів, методів і понять у сфері професійної діяльності та/або навчання. Уміння/навички: поглиблені когнітивні та практичні уміння/навички, майстерність та інноваційність на рівні, необхідному для розв’язання складних спеціалізованих задач і практичних проблем у сфері професійної діяльності або навчання. Комунікація: донесення до фахівців і нефахівців інформації, ідей, проблем, рішень, власного досвіду та аргументації; збір, інтерпретація та застосування даних; спілкування з професійних питань, у тому числі іноземною мовою, усно та письмово Відповідальність та автономія: управління складною технічною або професійною діяльністю чи проектами; спроможність нести відповідальність за вироблення та ухвалення рішень у непередбачуваних робочих та/або навчальних контекстах; формування суджень, що враховують соціальні, наукові та етичні аспекти; організація та керівництво професійним розвитком осіб та груп; здатність продовжувати навчання із значним ступенем автономії.</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 Структура та зміст освітньої програми</w:t>
      </w:r>
    </w:p>
    <w:tbl>
      <w:tblPr>
        <w:tblW w:w="11057" w:type="dxa"/>
        <w:tblCellMar>
          <w:top w:w="15" w:type="dxa"/>
          <w:left w:w="15" w:type="dxa"/>
          <w:bottom w:w="15" w:type="dxa"/>
          <w:right w:w="15" w:type="dxa"/>
        </w:tblCellMar>
        <w:tblLook w:val="04A0" w:firstRow="1" w:lastRow="0" w:firstColumn="1" w:lastColumn="0" w:noHBand="0" w:noVBand="1"/>
      </w:tblPr>
      <w:tblGrid>
        <w:gridCol w:w="3708"/>
        <w:gridCol w:w="7349"/>
      </w:tblGrid>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є обсяг ОП (у кредитах ЄКТС)?</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90</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є обсяг освітніх компонентів (у кредитах Числове поле ЄКТС), спрямованих на формування компетентностей, визначених стандартом вищої освіти за відповідною спеціальністю та рівнем вищої освіти (за наявності)?</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66</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Який обсяг (у кредитах ЄКТС) відводиться на дисципліни за вибором здобувачів вищої освіти?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24</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Продемонструйте, що зміст ОП відповідає предметній області заявленої для неї спеціальності (спеціальностям, якщо освітня програма є міждисциплінарною)?</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За ОП «Середня освіта (Біологія та здоров'я людини)» здійснюється підготовка здобувачів другого (магістерського) рівня вищої освіти у галузі знань 01 Освіта / Педагогіка 014.05 Середня освіта (Біологія та здоров’я людини). Предметною областю ОП є: освітній процес у закладах вищої освіти (рівень базової середньої освіти) за предметною спеціальністю; сучасні теоретичні засади відповідних наук (достатні для формування предметних компетентностей), педагогіки та психології, методики навчання з предмета (рівень базової середньої освіти). Освітні компоненти, що входять до змісту ОП, складають логічну взаємопов’язану систему, що дозволяє досягти цілей та програмних РН. Всі освітні компоненти, що складають зміст ОП «Середня освіта (Біологія та здоров’я людини)» відповідають об’єктам вивчення та діяльності ОП, а саме процесу створення висококваліфікованих кадрів, що мають здатність до виконання професійних завдань та обов’язків освітнього та інноваційного характеру в галузі сучасної біологічної науки, педагогіки та методики вищої та середньої освіти. Змісту предметної області (поняттям, концепціям, принципам їх використання для пояснення фактівта прогнозування результатів) відповідають наступні освітні компоненти: ОК 3 Макроеволюція органічного світу, ОК 4 Методика навчання основ здоров'я, ОК 5 Експериментальна фізіологія організму людини і тварин, ОК 6 Педагогіка і психологія вищої школи, ОК 7 Методика викладання фахових біологічних дисциплін у закладі вищої освіти, ОК 8 Виробнича практика, ОК 9 Виконання кваліфікаційної роботи (у т.ч. переддипломна практика) та атестація здобувачів вищої освіти. Методам, методикам та технологіям, якими має оволодіти здобувач відповідають освітні компоненти: ОК 4 Методика навчання основ здоров'я, ОК 6 Педагогіка і психологія вищої школи, ОК 7 Методика викладання фахових біологічних дисциплін у закладі вищої освіти, ОК 8 Виробнича практика, ОК 9 Виконання кваліфікаційної роботи (у т.ч. переддипломна практика) та атестація здобувачів вищої освіти Всі освітні компоненти викладаються відповідно до структурно-логічної схеми, наведеної у ОП.</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здобувачам вищої освіти забезпечена можливість формування індивідуальної освітньої траєкторії?</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Основним інструментом формування індивідуальної освітньої траєкторії здобувачів вищої освіти є вибіркові дисципліни. «Положення про організацію освітнього процесу в Херсонському державному університеті» (наказ ХДУ № 881-Д від 01.11.2019р.; зі змінами) http://www.kspu.edu/About/DepartmentAndServices/DAcademicServ.aspx регламентують систему вибіркових дисциплін у ХДУ. Згідно Положень, навчальна програма вибіркової дисципліни розробляється ХДУ. Програма вибіркової дисципліни розглядається на засіданні кафедри, підлягає експертизі в експертній групі при НМР ХДУ та затверджується Вченою радою ХДУ. Викладання дисциплін здійснюють всі кафедри університету за умови наявності відповідного кадрового, навчально-методичного та інформаційного забезпечення. До переліку цих дисциплін можуть бути внесені окремі освітні компоненти і пакетні програми, що представляють дисципліни відповідно до обраної спеціалізації. Серед вибіркових дисциплін навчальним планом може встановлюватися перелік професійно-орієнтованих дисциплін та дисциплін за вільним вибором студента. Відповідно до графіків освітнього процесу та навчальних планів, на вільний вибір студента відводяться дисципліни із загального обсягу </w:t>
            </w:r>
            <w:r w:rsidRPr="009E1944">
              <w:rPr>
                <w:rFonts w:ascii="Times New Roman" w:eastAsia="Times New Roman" w:hAnsi="Times New Roman" w:cs="Times New Roman"/>
                <w:color w:val="212529"/>
                <w:sz w:val="24"/>
                <w:szCs w:val="24"/>
                <w:lang w:eastAsia="ru-RU"/>
              </w:rPr>
              <w:lastRenderedPageBreak/>
              <w:t>теоретичної підготовки будь-якої спеціальності. Включення цих дисциплін до індивідуального плану роботи студентів є обов’язковим. При цьому студенти певного рівня вищої освіти мають право вибирати навчальні дисципліни, що пропонуються для інших рівнів вищої освіти</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здобувачі вищої освіти можуть реалізувати своє право на вибір навчальних дисциплін?</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Згідно та «Положення яким визначено порядок та умови обрання студентами дисциплін за вибором (затверджено наказом ХДУ від 02.07.2016 р. № 428-Д)» http://www.kspu.edu/About/DepartmentAndServices/DAcademicServ.aspx, навчання студента здійснюється за індивідуальним навчальним планом, який складається напередодні навчального року. Індивідуальний навчальний план студента складається на підставі робочого навчального плану і включає всі нормативні навчальні дисципліни та частину вибіркових навчальних дисциплін, вибраних студентом з обов’язковим урахуванням структурно-логічної схеми підготовки. Індивідуальний навчальний план складається на кожний навчальний рік і затверджується деканом факультету. Вибіркові навчальні дисципліни, включені до індивідуального навчального плану студента, є обов’язковими для вивчення. Студент має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загальної кількості кредитів ЄКТС, передбачених для даного рівня вищої освіти. При цьому студенти певного рівня вищої освіти мають право вибирати навчальні дисципліни, що пропонуються для інших рівнів вищої освіти. Обсяг однієї дисципліни вільного вибору становить не менше 3 кредити ЄКТС. Форма контролю дисципліни за вибором – залік. ОП «Середня освіта (Біологія та здоров’я людини)» має 24 кредити ЄКТС з 90, відведені на дисципліни вільного вибору, що складає 26,6% кредитів ЄКТС. З них 21 кредит ЄКТС (23,3%) – це дисципліни вільного вибору, що входять до переліку професійно-орієнтовних дисциплін в межах спеціальності, які організовані у блоки дисциплін, у кожному з якого здобувач може обрати лише одну дисципліну. Таких блоків загалом 6, кожен містить по 2 дисципліни. Інші 3 кредити ЄКТС (3,3%) – це дисципліна на вільний вибір студента, незалежно від спеціальності, рівня вищої освіти здобувача чи підрозділу, який забезпечує виконання дисципліни. До варіативної частини індивідуального навчального плану можуть бути зараховані дисципліни, які здобувач вищої освіти – учасник програми академічної мобільності обирає у навчальному закладі-партнері, за умови документального підтвердження вивчення цих дисциплін. Перелік вибіркових дисциплін та їх презентаційні матеріали щорічно оновлюються у каталозі, що розміщено на сайті http://ksuonline.kspu.edu/. Для формування контингенту студентів для вивчення вибіркових дисциплін на засіданні розширеного старостату студенти ознайомлюються з переліком дисциплін та алгоритмом їх вибору і реєстрації. Після ознайомлення студенти мають подати електронні заяви через заповнення анкети на сайті http://ksuonline.kspu.edu/. У разі поновлення, переведення студента перезарахування вибіркових дисциплін проводиться на підставі подання факультету та академічної довідки студента. Перезарахування кредитів проводиться за рахунок фактично вивчених дисциплін певного циклу за умови однакової кількості кредитів.</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яким чином ОП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Організація практики здійснюється відповідно до «Положення про проходження практики студентами ХДУ», затвердженого наказом ХДУ від 02.06.2017 року № 337-Д. Згідно з навчальним планом передбачені наступні практики: переддипломна та виробнича. Для магістрів ОП виробнича практика проходить на базі кафедр факультету, де вони набувають компетентностей у якості асистента кафедри. Переддипломна практика проходить на базі науково-дослідних лабораторій кафедри. Під час проходження виробничої практики здобувач набуде таких компетентностей: - Здатність до прийняття рішень у складних і непередбачуваних умовах, що потребує застосування нових підходів та прогнозування; - Здатність використовувати біологічні поняття, закони, концепції, вчення й теорії біології для пояснення та розвитку в учнів та студентів розуміння цілісності та взаємозалежності живих систем; - Здатність до критичного аналізу, діагностики й корекції власної педагогічної діяльності, оцінки педагогічного досвіду; - Здатність здійснювати професійні функції у процесі інклюзивного навчання, створювати умови для розвитку і саморозвитку, повноцінної соціалізації з допомогою здоров'язбережувальних технологій для осіб з обмеженими можливостями здоров'я, - Здатність аналізувати спосіб життя особи та його вплив на здоров’я, розробляти здоров’язбережувальні програми, добирати адекватні методи й засоби оздоровлення. Компетентності практичної підготовки обговорюються на засіданнях кафедри (№№5 від 04.12.2017 р., 1 від 27.08.2018 р.)</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що ОП дозволяє забезпечити набуття здобувачами вищої освіти соціальних навичок (soft skills) упродовж періоду навчання, які відповідають цілям та результатам навчання ОП результатам навчання ОП</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Освітні компоненти ОП мають на меті розвиток таких компетентностей, що відносять до softskills: Вміння виявляти, вирішувати проблеми та приймати обґрунтовані рішення в професійній діяльності; Здатність до прийняття рішень у складних і непередбачуваних умовах, що потребує застосування нових підходів та прогнозування; Здатність спілкуватися з фахівцями та експертами різного рівня інших галузей знань; Здатність до колективних дій та організації взаємодії в колективі; Здатність працювати самостійно, автономно діяти з позиції соціальної відповідальності, займати активну життєву позицію; Здатність виконувати професійну діяльність у відповідності до стандартів якості, вміння управляти комплексними діями або проектами Здатність здійснювати професійні функції у процесі інклюзивного навчання, адекватно добирати засоби й методи навчання для осіб з обмеженими можливостями здоров'я. Набуття таких компетенностей здійснюється у таких освітніх компонентах: ОК 1 Основи наукової комунікації іноземними мовами, ОК 4 Методика навчання основ здоров'я, ОК 5 Експериментальна фізіологія організму людини і тварин, ОК 6 Педагогіка і психологія вищої школи, ОК 7 Методика викладання фахових біологічних дисциплін у закладі вищої освіти, ОК 8 Виробнича практика, ОК 9 Виконання кваліфікаційної роботи та атестація здобувачів вищої освіти. Окрім того, набуттю соціальних навичок сприяє участь студентів у соціальних проектах: студентський волонтерський Центр при ХДУ; участь у соціальних конкурсах</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зміст ОП ураховує вимоги відповідного професійного стандарту?</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Наразі для ОП Середня освіта (Біологія та здоров’я людини) не затверджений професійний стандарт. Під час розробки ОП робоча група керувалася Наказом МОН від 22.01.2018 р., №74. Для розробки компетентностей були враховані трудові функції, які будуть </w:t>
            </w:r>
            <w:r w:rsidRPr="009E1944">
              <w:rPr>
                <w:rFonts w:ascii="Times New Roman" w:eastAsia="Times New Roman" w:hAnsi="Times New Roman" w:cs="Times New Roman"/>
                <w:color w:val="212529"/>
                <w:sz w:val="24"/>
                <w:szCs w:val="24"/>
                <w:lang w:eastAsia="ru-RU"/>
              </w:rPr>
              <w:lastRenderedPageBreak/>
              <w:t>виконувати здобувачі ОП за певним видом професійної діяльності; перелік предметів та засоби праці, обладнання, устаткування, продуктів, матеріалів та інструментів праці, що будуть застосовуватися здобувачем у своїй професійній діяльності; положення чинних галузевих регламентів, нормативних документів, які визначають вимоги до змісту та якості професійної діяльності; загальні компетентності; фахові компетентності; вимоги, які висуваються до знань, умінь, навичок та інших компетентностей працівників; вимоги до працівників певного виду професійної діяльності чи професії щодо рівня кваліфікації. Згідно Національної рамки кваліфікацій (НРК) України (Постанова КМУ №1341 від 23.11.2011 р.) здобувачі другого (магістерського) рівня повинні набути наступні компетентності: здатність особи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 Перелік компетентностей ОП затверджувався на засіданнях кафедри біології людини та імунології (№№ 1 від 21.08.2017 р., 5 від 04.12.2017 р., 1 від 27.08.2018 р., 1 від 27.08.2019 р.)</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Який підхід використовує ЗВО для співвіднесення обсягу окремих освітніх компонентів ОП (у кредитах ЄКТС) із фактичним навантаженням здобувачів вищої освіти (включно із самостійною роботою)?</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Згідно «Положень про організацію освітнього процесу в ХДУ» (наказ ХДУ № 881-Д від 01.11.2019 р.), обсяг навчального навантаження студента встановлюється в академічних кредитах та в годинах. Обсяг освітньо-професійної програми для здобуття освітнього ступеня магістр становить 90 кредитів ЄКТС. Самостійна робота студента (далі СРС) є невід’ємною складовою освітнього процесу у вищому навчальному закладі. Усі модулі самостійної роботи наявні у робочих програмах дисциплін. Навчальний час, відведений для СРС, регламентується нормативними документами Міністерства освіти і науки України, навчальним (робочим) планом і знаходиться в межах від 1/3 до 2/3 загального обсягу навчального часу, відведеного для вивчення конкретної навчальної дисципліни. Згідно проведених опитувань серед здобувача другого (магістерського) рівня вищої освіти за ОП «Середня освіта (Біологія та здоров’я людини)» студенти мали достатньо часу для реалізації самостійної роботи у рамках освітніх компонентів. Навчальний день - складова частина навчального часу студента тривалістю не більше 9 академічних годин (за умови 5-ти денного робочого тижня) або 7,5 годин (6-ти денного робочого тижня). Навчальний тиждень - складова частина навчального часу студента – складає 45 годин - 1,5 кредити. Тижневе навантаження аудиторних занять для магістра – 16 год. Магістранти мають два дні самостійної роботи на тиждень. Розклад аудиторних занять студентів розміщений на сайти http://www.kspu.edu/ForStudent/Shedule.aspx.</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Якщо за ОП здійснюється підготовка здобувачів вищої освіти за дуальною формою освіти, продемонструйте, яким чином структура освітньої програми та навчальний план зумовлюються завданнями та особливостями цієї форми здобуття освіти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Університет використовує окремі елементи дуальної освіти. А саме практичні та лабораторні заняття, які магістри другого року навчання проводять для студентів першого (бакалаврського) рівня вищої освіти, виконання курсових да кваліфікаційних робіт за тематикою, що пов’язана з шкільною освітою, залучення студентів до громадської діяльності на конкретному виробництві. На старших курсах університет підтримує дуальні форми через надання індивідуальних графіків навчання студентам, які працюють на майбутніх робочих місцях. Так, у 2018-19 н.р. індивідуальні графіки були надані студентам першого курсу Дроботу Є. (112-м гр., місце роботи – Антонівська ЗОШ </w:t>
            </w:r>
            <w:r w:rsidRPr="009E1944">
              <w:rPr>
                <w:rFonts w:ascii="Times New Roman" w:eastAsia="Times New Roman" w:hAnsi="Times New Roman" w:cs="Times New Roman"/>
                <w:color w:val="212529"/>
                <w:sz w:val="24"/>
                <w:szCs w:val="24"/>
                <w:lang w:eastAsia="ru-RU"/>
              </w:rPr>
              <w:lastRenderedPageBreak/>
              <w:t>І-ІІІ ступенів №2) та Подгурському А. (112-м гр., місце роботи - Дивненська ЗОШ І-ІІІ ступенів Новотроїцького району Херсонської області). У 2019-2020 н.р. такий графік отримала студентка першого курсу 112-м гр. Горобець А. (місце роботи - Великолепетиська ЗОШ І-ІІІ ступенів № 2). Елементи дуальної освітиє в ОП «Середня освіта (Біологія та здоров’я людини)» виробнича (асистентська) практика студентів, що проходить у закладах вищої та середньої освіти. ЇЇ метою є формування та розвиток у студентів професійного вміння приймати самостійні рішення в умовах професійної діяльності, оволодіння сучасними методами, формами організації праці в галузі обраної вчительської спеціальності.</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3. Доступ до освітньої програми та визнання результатів навчання</w:t>
      </w:r>
    </w:p>
    <w:tbl>
      <w:tblPr>
        <w:tblW w:w="11057" w:type="dxa"/>
        <w:tblCellMar>
          <w:top w:w="15" w:type="dxa"/>
          <w:left w:w="15" w:type="dxa"/>
          <w:bottom w:w="15" w:type="dxa"/>
          <w:right w:w="15" w:type="dxa"/>
        </w:tblCellMar>
        <w:tblLook w:val="04A0" w:firstRow="1" w:lastRow="0" w:firstColumn="1" w:lastColumn="0" w:noHBand="0" w:noVBand="1"/>
      </w:tblPr>
      <w:tblGrid>
        <w:gridCol w:w="3567"/>
        <w:gridCol w:w="7490"/>
      </w:tblGrid>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Наведіть посилання на веб-сторінку, яка містить інформацію про правила прийому на навчання та вимоги до вступників ОП</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hyperlink r:id="rId9" w:tgtFrame="_blank" w:history="1">
              <w:r w:rsidRPr="009E1944">
                <w:rPr>
                  <w:rFonts w:ascii="Times New Roman" w:eastAsia="Times New Roman" w:hAnsi="Times New Roman" w:cs="Times New Roman"/>
                  <w:color w:val="0000FF"/>
                  <w:sz w:val="24"/>
                  <w:szCs w:val="24"/>
                  <w:u w:val="single"/>
                  <w:lang w:eastAsia="ru-RU"/>
                </w:rPr>
                <w:t>http://www.kspu.edu/Entrant/SelectionCommittee/RulesOfEntryToKSU.aspx</w:t>
              </w:r>
            </w:hyperlink>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Поясніть, як правила прийому на навчання та вимоги до вступників ураховують особливості ОП?</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Для вступу на спеціальність за ОП «Середня освіта (Біологія та здоров’я людини)» абітурієнти мають скласти вступні випробування - іноземну мову та фахове випробування (методика навчання біології). Формування програми співбесіди та програми фахового вступного випробування для здобуття СВО «магістр» спирається на перевірку базових компетентностей, досягнення результатів навчання відповідно до нормативної складової ОП. Такий підхід забезпечує рівність вступників, які завершили попереднє навчання або в іншому ВНЗ або за іншою ОП. На ОП мають змогу вступити особи, що мають попередній рівень вищої освіти бакалавр або спеціаліста неспоріднених спеціальностей. Вони повиння пройти додаткове вступне випробування у вигляді співбесіди, що має на меті визначення рівня базової теоретичної підготовки вступника з подальшим допуском до складання фахового вступного випробування для здобуття ступеня магістра. Конкурсний бал розраховується як сума балів за вступні випробування та середнього балу додатка до документа про попередню освіту (за шкалою від 100 до 200 балів) з урахуванням права на першочергове зарахування. Мінімальний бал для спеціальностей, що не мають особливих обмежень відповідно до Умов прийому, встановлюється на рівні 100. У 2019 році мінімальний конкурсний бал для вступу складав 492 бали, максимальний – 536 бали. 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документом ЗВО регулюється питання визнання результатів навчання, отриманих в інших ЗВО? Яким чином забезпечується його доступність для учасників освітнього процесу?</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Для здобувачів, які навчались в українських закладах освіти, – на підставі Положення про організацію освітнього процесу, що передбачає такі процедури: проведення порівняльного аналізу освітніх документів (академдовідки або копії залікової книжки) здобувача зі змістом нормативної частини ОП університету, визначення переліку освітніх компонентів, що можна перезарахувати; визначення вибіркових дисциплін, що можуть бути зараховані та визначення компонентів, що їх слід скласти з метою вирівнювання в навчальних планах. Вирівнювання відбувається у терміни, визначені окремим розпорядженням, на підставі заяви здобувача та оплати ним освітніх послуг. Для здобувачів, які беруть участь у програмі академічної мобільності на базі закордонних </w:t>
            </w:r>
            <w:r w:rsidRPr="009E1944">
              <w:rPr>
                <w:rFonts w:ascii="Times New Roman" w:eastAsia="Times New Roman" w:hAnsi="Times New Roman" w:cs="Times New Roman"/>
                <w:color w:val="212529"/>
                <w:sz w:val="24"/>
                <w:szCs w:val="24"/>
                <w:lang w:eastAsia="ru-RU"/>
              </w:rPr>
              <w:lastRenderedPageBreak/>
              <w:t>закладів вищої освіти, визнання результатів навчання здійснюється відповідно до Положення про академічну мобільність студентів Херсонського державного університету, Постанови Кабінету Міністрів України від 13 квітня 2011 р. № 411, Постанови Кабінету Міністрів України від 12 серпня 2015 р. № 579. У разі, якщо особа вступає на навчання на підставі іноземних документів про освіту, університет готує відповідні подання до Інформаційно-іміджевого центру МОН України для проведення процедури визнання зазначених документів. Після отримання відповідного сертифікату, навчання може бути продовжено. У разі непроходження процедури визнання впродовж першого семестру, студент відраховується з університету. Ця норма закріплена в Правилах прийому на навчання</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на конкретних прикладах практику застосування вказаних правил на відповідній ОП (якщо такі були)?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Застосування вищенаведених правил застосовувалося для студентів, що прийняли участьу програмі академічної мобільності. Серед них студенти, що прийняли участь у програмі «Erasmus+», у Познанському університеті імені Адама Міцкевича (Польща): Височанська М. - навчання протягм 1 семестру у 2017-2018 н.р. за розпорядження про перезарахування результатів навчання № 238, від 04.01.2017 р. (перезараховані Біохімія, Методика навчання біології, Фізіологія людини і тварин, Інформаційні технології в галузі біології, Фізіологія рослин). Ракша </w:t>
            </w:r>
            <w:proofErr w:type="gramStart"/>
            <w:r w:rsidRPr="009E1944">
              <w:rPr>
                <w:rFonts w:ascii="Times New Roman" w:eastAsia="Times New Roman" w:hAnsi="Times New Roman" w:cs="Times New Roman"/>
                <w:color w:val="212529"/>
                <w:sz w:val="24"/>
                <w:szCs w:val="24"/>
                <w:lang w:eastAsia="ru-RU"/>
              </w:rPr>
              <w:t>О.,Карплюк</w:t>
            </w:r>
            <w:proofErr w:type="gramEnd"/>
            <w:r w:rsidRPr="009E1944">
              <w:rPr>
                <w:rFonts w:ascii="Times New Roman" w:eastAsia="Times New Roman" w:hAnsi="Times New Roman" w:cs="Times New Roman"/>
                <w:color w:val="212529"/>
                <w:sz w:val="24"/>
                <w:szCs w:val="24"/>
                <w:lang w:eastAsia="ru-RU"/>
              </w:rPr>
              <w:t xml:space="preserve"> В – навчання протягм 1 семестру у 2018-2019 н.р., розпорядження про перезарахування результатів навчання № 105, від 22.02.2019 р. (перезараховані Біохімія, Фізіологія рослин, Фізіологія людини і тварин).</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документом ЗВО регулюється питання визнання результатів навчання, отриманих у неформальній освіті? Яким чином забезпечується його доступність для учасників освітнього процесу?</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Положення про організацію освітнього процесу містить право університету, в якості експерименту, здійснювати процедуру визнання навчання отриманих у неформальній освіті. Як підготовчий етап до такого виду діяльності, університет впродовж 4-х років (з 2016 р.) в межах діяльності освітнього центру «Крим - Україна» активно проводить процедуру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(порядок проходження розроблено відповідно до наказу МОН України від19.05.2016 № 537, схвалено вченою радою університету та затверджено наказом ректора). Інформація про Порядок розміщена на сайті університету на сторінці Освітнього центру (http://www.kspu.edu/NewsPages/Crimea.aspx). Таку процедуру здійснено для 17 осіб за різними спеціальностями університету. Якість та надійність визнання РН забезпечені проведенням співбесіди з претендентом, вирівнюванням у навчальних планах. Після поновлення на навчання всі здобувачі завершили навчання та успішно пройшли атестацію здобувача. Серед проблем – попереднє негативне ставлення осіб, що поновлюються, до необхідності повторного навчання. Але після проходження атестаційної співбесіди і висвітлення конкретних проблем у змісті та якості підготовки, подібні суб’єктивні чинники зникають. На базі ХДУ створенно "Університет третього покоління" (розпорядження від 11.03.19 р. № 137).</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на конкретних прикладах практику застосування вказаних правил на відповідній ОП (якщо такі були)?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За ОП Середня освіта (Біологія та здоров’я людини) таких випадків не було.</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4. Навчання і викладання за освітньою програмою</w:t>
      </w:r>
    </w:p>
    <w:tbl>
      <w:tblPr>
        <w:tblW w:w="10490" w:type="dxa"/>
        <w:tblCellMar>
          <w:top w:w="15" w:type="dxa"/>
          <w:left w:w="15" w:type="dxa"/>
          <w:bottom w:w="15" w:type="dxa"/>
          <w:right w:w="15" w:type="dxa"/>
        </w:tblCellMar>
        <w:tblLook w:val="04A0" w:firstRow="1" w:lastRow="0" w:firstColumn="1" w:lastColumn="0" w:noHBand="0" w:noVBand="1"/>
      </w:tblPr>
      <w:tblGrid>
        <w:gridCol w:w="1637"/>
        <w:gridCol w:w="9119"/>
      </w:tblGrid>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яким чином форми та методи навчання і викладання на ОП сприяють досягненню програмних результатів навчання? Наведіть посилання на відповідні документи</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Згідно «Положень про організацію освітнього процесу в ХДУ» (наказ ХДУ № 881-Д від 01.11.19р.; зі змінами http://www.kspu.edu/About/DepartmentAndServices/DAcademicServ.aspx), освітній процес у ХДУ здійснюється за такими формами: навчальні заняття, самостійна робота, практична підготовка та контрольні заходи. Викладачами використовуються різноманіття методів, форм і методичних прийомів навчання на ОП. Широко використовуються частково-пошукові дослідження у аудиторний та позааудиторний час де посилено розвиваються здоров'язберігаючі компетентності засобами сучасних технологій навчання. Проведення викладачами індивідуальних консультацій (Положення про організацію самостійної роботи студентів у ХДУ (Наказ ХДУ від 02.07.16 р. №428-Д). Наприклад, написання кваліфікаційних робіт на такі теми: «Формування предметних компетентностей з біології в майбутніх біологів засобами комп’ютерної підтримки» (виконавець – Шушуковська В., керівник – Сидорович М.), «Формування компетентностей щодо здорового способу життя в курсі біології</w:t>
            </w:r>
            <w:proofErr w:type="gramStart"/>
            <w:r w:rsidRPr="009E1944">
              <w:rPr>
                <w:rFonts w:ascii="Times New Roman" w:eastAsia="Times New Roman" w:hAnsi="Times New Roman" w:cs="Times New Roman"/>
                <w:color w:val="212529"/>
                <w:sz w:val="24"/>
                <w:szCs w:val="24"/>
                <w:lang w:eastAsia="ru-RU"/>
              </w:rPr>
              <w:t>» »</w:t>
            </w:r>
            <w:proofErr w:type="gramEnd"/>
            <w:r w:rsidRPr="009E1944">
              <w:rPr>
                <w:rFonts w:ascii="Times New Roman" w:eastAsia="Times New Roman" w:hAnsi="Times New Roman" w:cs="Times New Roman"/>
                <w:color w:val="212529"/>
                <w:sz w:val="24"/>
                <w:szCs w:val="24"/>
                <w:lang w:eastAsia="ru-RU"/>
              </w:rPr>
              <w:t xml:space="preserve"> (виконавець – Дробот Є., керівник – Гасюк О.). Участь студентів у наукових об’єднаннях для задоволення власних освітніх та наукових потреб (Положення про Наукове товариство студентів, аспірантів, докторантів і молодих учених ХДУ від 13.09.17р. № 582-Д). Лабораторний експеримент на практичних та лабораторних роботах. Наукові диспути зі студентами на соціально та науково значущі теми. Організація самостійної роботи засобами різноманітної підтримки.</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яким чином форми і методи навчання і викладання відповідають вимогам студентоцентрованого підходу? Яким є рівень задоволеності здобувачі</w:t>
            </w:r>
            <w:r w:rsidRPr="009E1944">
              <w:rPr>
                <w:rFonts w:ascii="Times New Roman" w:eastAsia="Times New Roman" w:hAnsi="Times New Roman" w:cs="Times New Roman"/>
                <w:b/>
                <w:bCs/>
                <w:color w:val="212529"/>
                <w:sz w:val="24"/>
                <w:szCs w:val="24"/>
                <w:lang w:eastAsia="ru-RU"/>
              </w:rPr>
              <w:lastRenderedPageBreak/>
              <w:t>в вищої освіти методами навчання і викладання відповідно до результатів опитувань?</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Під час добору методів і форм навчання за ОП враховується студентоцентрований підхід. Який здійснюється через: • самостійний вибір студентами теми дослідження кваліфікаційної роботи (Положення про кваліфікаційну роботу (Наказ ХДУ від 01.11.19р. №880-Д); • можливість подання апеляції студентом уразі необ’єктивного оцінювання (Положення про відділ забеспечення якості освіти (Наказ ректора ХДУ від 20.03.13р. № 314-Д); • виплата іменних стипендій (Положення про порядок призначення іменних стипендій студентам ХДУ (2010 рік, вчена рада ХДУ); • підтримка переможців конкурсів наукових робіт та судентських олімпіад переведення студентів, які навчаються за кошти фізичних осіб на навчання за кошти держбюджету (Тимчасове положення про порядок переведення осіб, які навчаються на договірній основі з оплатою за рахунок коштів місцевого бюджету, галузевих міністерств, відомств, підприємств, організацій, установ, фізичних та юридичних осіб, на навчання за кошти державного бюджету в ХДУ (Наказ ректора ХДУ від 28.01.14р. № 77-Д). • студенти, за потреби, мають змогу отримати індивідуальний графік навчання, якщо вони працюють на майбутніх робочих місцях. Методи навчання спрямовані на активізацію власної навчально-пізнавальної діяльності здобувача. У звязку з цим провідними методами фахової підготовки є частково-пошукові і дослідницькі. У навчальних курсах суттєва підсилена лабораторно-практична складова. Для підсилення оптимізації контролю оцінювання у ХДУ діє Положення про порядок оцінювання знань студентів </w:t>
            </w:r>
            <w:r w:rsidRPr="009E1944">
              <w:rPr>
                <w:rFonts w:ascii="Times New Roman" w:eastAsia="Times New Roman" w:hAnsi="Times New Roman" w:cs="Times New Roman"/>
                <w:color w:val="212529"/>
                <w:sz w:val="24"/>
                <w:szCs w:val="24"/>
                <w:lang w:eastAsia="ru-RU"/>
              </w:rPr>
              <w:lastRenderedPageBreak/>
              <w:t>при кредитно-трансферній системі організації освітнього процесу в ХДУ (Наказ ХДУ від 29.03.16 р. № 218-Д).</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Продемонструйте, яким чином забезпечується відповідність методів навчання і викладання на ОП принципам академічної свободи</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За принципами академічної свободи, викладач має право самостійно обирати методи навчання і виклалання без втручання керівництва ЗВО. Це відображено у робочих програмах дисциплін.Наприклад: робочі програми дисциплін «Науково-дослідницький практикум з біології» та «Дидактика екології». У межах освітніх компонент ОП для здобуття компетентностей використовується ресурсний центр професійного розвитку вчителя основ здоров’я при ХАНО (керівник – к.б.н. Головченко І.В.) та авторські сайти, наприклад http/ www.masisidorovich.ucos.ru,https://www.youtube.com/channel/UCEi1CJ2545xfPcjWlIKCmBw. Започаткована і активно працює вперше в Україні нова форма позааудиторної підготовки майбутніх біологів та екологів студентська група STEM-освіти «Цитоеколог» (керівник – проф. Сидорович М.М.). Впродовж виконання довготривалих експериментальних досліджень у студентів не тільки формується спектр загальних і предметних компетенцій. Кожний з них створює оригінальний науковий доробок, що має практичну спрямованість. Результатом подібної роботи є одноосібні та, у співавторстві із науковим керівником, наукові публікації студентів. Так, за 2017 рік вийшло 23 подібні публікації, три студенти робили доповіді на міжнародних конференціях, а четверо – на Всеукраїнських.</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Опишіть, яким чином і у які строки учасникам освітнього процесу надається інформація щодо цілей, змісту та очікуваних </w:t>
            </w:r>
            <w:r w:rsidRPr="009E1944">
              <w:rPr>
                <w:rFonts w:ascii="Times New Roman" w:eastAsia="Times New Roman" w:hAnsi="Times New Roman" w:cs="Times New Roman"/>
                <w:b/>
                <w:bCs/>
                <w:color w:val="212529"/>
                <w:sz w:val="24"/>
                <w:szCs w:val="24"/>
                <w:lang w:eastAsia="ru-RU"/>
              </w:rPr>
              <w:lastRenderedPageBreak/>
              <w:t>результатів навчання, порядку та критеріїв оцінювання у межах окремих освітніх компонентів</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Згідно Положення про навчально-методичний комплекс дисципліни кафедри ХДУ (№ 889-Д, від 01.11.19 р.) мета, зміст та очікувані результати освітніх компонентів ОП містяться у робочих програмах дисциплін. Список лекційних та лабораторних (практичних, семінарських) занять, анотації до них, перелік навичок, вимоги до модулів самостійної роботи, критерії оцінювання визначаються робочими програмами дисциплін. На початку викладання дисципліни викладач повідомляє студентів про тематику занять, модулі самостійної роботи, форми поточного та рубіжного контролю та критерії оцінювання. Також, уся інформація міститься на Інтернет-сайті ХДУ та методичному кабінеті випускової кафедри. Робочі програми навчальних дисциплін: http://www.kspu.edu/About/Faculty/Faculty_of_biolog_geograf_ecol/DepartmentofHumanBiologyandImmunology/Teaching.aspx ОП: http://www.kspu.edu/About/Faculty/Faculty_of_biolog_geograf_ecol/DepartmentofHumanBiologyandImmunology/Educational_and_professional_programs.aspx</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яким чином відбувається поєднання навчання і досліджень під час реалізації ОП</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Здобувачі ОП у рамках своїх кваліфікаційних робіт беруть участь у виконанні ініціативних тем випускової кафедри: 1. «Вплив деяких вазоактивних речовин на центральні та периферичні лімфоїдні органи білих мишей» (державний реєстраційний номер 0117U001764; керівник О.М.Гасюк). 2. «Цитоекологічний моніторинг дії чинників довкілля методом біотестування» (державний реєстраційний номер 0117U004705; керівник М.М.Сидорович) 3. «Дослідження механізмів плейотропного впливу рекомбінантного інтерферону альфа на організм» (державний реєстраційний номер 0117U005021; керівник С.П.Бесчасний). 4. «Психофізіологічні властивості людей із сенсорною деривацією» (державний реєстраційний номер 0117U003287; керівник О.Б.Спринь). З 2000-го року працює лабораторія активних форм навчання біології та екології (керівник Сидорович М.М.). У 2006 році відкрито лабораторію фізіології кровообігу (керівник Гасюк О.М.). 2013-го року було відкрито міжкафедральну лабораторію молекулярної біології (керівник Бесчасний С.П.). На базі перерахованих науково-дослідних лабораторій проходять лабораторні та практичні заняття, студенти виконують дипломні проекти. На лабораторних роботах здобувачами ОП проводяться демонстраційні лабораторні експерименти, що дозволяють відпрацьовувати отримані навички практичної та наукової роботи. Наприклад, «Методика викладання фахових дисциплін у ЗВО», «Методи культурі клітин і тканин», «Морфометрія». Студенти мають змогу працювати у складі п’яти наукових об’єднань, а саме: -Науково-дослідна група «Фізіологія людини і тварин» (керівник – Гасюк О.М.); -Науково-дослідницький практикум з біології (керівник –Сидорович М.М.); -Науково-дослідна група для досліджень в галузі фізіології ВНД (керівник –Спринь О.Б.); </w:t>
            </w:r>
            <w:proofErr w:type="gramStart"/>
            <w:r w:rsidRPr="009E1944">
              <w:rPr>
                <w:rFonts w:ascii="Times New Roman" w:eastAsia="Times New Roman" w:hAnsi="Times New Roman" w:cs="Times New Roman"/>
                <w:color w:val="212529"/>
                <w:sz w:val="24"/>
                <w:szCs w:val="24"/>
                <w:lang w:eastAsia="ru-RU"/>
              </w:rPr>
              <w:t>-«</w:t>
            </w:r>
            <w:proofErr w:type="gramEnd"/>
            <w:r w:rsidRPr="009E1944">
              <w:rPr>
                <w:rFonts w:ascii="Times New Roman" w:eastAsia="Times New Roman" w:hAnsi="Times New Roman" w:cs="Times New Roman"/>
                <w:color w:val="212529"/>
                <w:sz w:val="24"/>
                <w:szCs w:val="24"/>
                <w:lang w:eastAsia="ru-RU"/>
              </w:rPr>
              <w:t>Генетичний клуб» (керівник –Лановенко О.Г.); -«Гістологія та біотехнологія» (керівник –Шкуропат А.В.).</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Продемонструйте, із посиланням на конкретні приклади, яким </w:t>
            </w:r>
            <w:r w:rsidRPr="009E1944">
              <w:rPr>
                <w:rFonts w:ascii="Times New Roman" w:eastAsia="Times New Roman" w:hAnsi="Times New Roman" w:cs="Times New Roman"/>
                <w:b/>
                <w:bCs/>
                <w:color w:val="212529"/>
                <w:sz w:val="24"/>
                <w:szCs w:val="24"/>
                <w:lang w:eastAsia="ru-RU"/>
              </w:rPr>
              <w:lastRenderedPageBreak/>
              <w:t>чином викладачі оновлюють зміст навчальних дисциплін на основі наукових досягнень і сучасних практик у відповідній галузі</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Робочі програми та їх оновлення регламентується «Положеннями про організацію освітнього процесу в ХДУ» (наказ ХДУ № 881-Д від 01.11.19р.). Для кожної навчальної дисципліни, яка входить до освітньо-професійної (освітньо-наукової) програми підготовки, кафедрою складається робоча програма навчальної дисципліни, яка є нормативним документом ХДУ. Вона містить виклад конкретного змісту навчальної дисципліни, послідовність, організаційні форми її вивчення та їх обсяг, визначає форми та засоби поточного і семестрового контролю. Робоча програма навчальної дисципліни розглядається та затверджується на </w:t>
            </w:r>
            <w:r w:rsidRPr="009E1944">
              <w:rPr>
                <w:rFonts w:ascii="Times New Roman" w:eastAsia="Times New Roman" w:hAnsi="Times New Roman" w:cs="Times New Roman"/>
                <w:color w:val="212529"/>
                <w:sz w:val="24"/>
                <w:szCs w:val="24"/>
                <w:lang w:eastAsia="ru-RU"/>
              </w:rPr>
              <w:lastRenderedPageBreak/>
              <w:t>засіданні кафедри і підписується завідувачем кафедри. Перезатвердження проводиться щорічно до початку навчального року. Викладач передивляється зміст робочої програми та, за необхідністю, його оновлює чи доповнює. Суттєві зміни у робочих програмах (наприклад, критерії оцінювання навчальних досягнень) вимагають затвердження змін на Навчально-методичній раді факультету. Зміст освітніх компонентів оновлюється викладачами після відвідування конференцій. Наприклад: Викладач Сидорович М.М. після відвідування І Всеукраїнської науково-практичної конференції з міжнародною участтю «Природнича освіта і наука для сталого розвитку України: проблеми і перспективи» (Глухів, 2017) ознайомилася з тест-системою «рослини на плаваючих дисках», яка тепер широко застосовується у студентських дослідженнях з фітотестування якості питної і річкової води на кафедрі біології людини та імунології; Викладач Шкуропат А.В. після участі у XX з’їзді Українського фізіологічного товариства ім. П.Г. Костюка з міжнародною участю (Київ, 27-30. 05.19р.) ввела у освітню компоненту «Методи культури клітин і тканин» метод органної культури. З НМКД кафедри можно ознайомитися на сайті: http://www.kspu.edu/About/Faculty/Faculty_of_biolog_geograf_ecol/DepartmentofHumanBiologyandImmunology/Teaching.aspx.</w:t>
            </w:r>
          </w:p>
        </w:tc>
      </w:tr>
      <w:tr w:rsidR="009E1944" w:rsidRPr="009E1944" w:rsidTr="009E1944">
        <w:tc>
          <w:tcPr>
            <w:tcW w:w="277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tabs>
                <w:tab w:val="left" w:pos="403"/>
                <w:tab w:val="left" w:pos="9356"/>
              </w:tabs>
              <w:spacing w:after="0" w:line="240" w:lineRule="auto"/>
              <w:ind w:right="5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яким чином навчання, викладання та наукові дослідження у межах ОП пов’язані із інтернаціоналізацією діяльності ЗВО</w:t>
            </w:r>
          </w:p>
        </w:tc>
        <w:tc>
          <w:tcPr>
            <w:tcW w:w="4536"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Професори Бойко М.Ф., Мойсієнко І.І., Сидорович М.М. є членами редакційних колегій друкованих та електронних видань: Staciana, Journal of Ecology and Protection of the Coastline, World Science, Sword. Професор Зав’ялов В.П. має кілька індивідуальних грантів: «Novel strategicapproachtodesignbettervaccines», 2015-2016 рр. </w:t>
            </w:r>
            <w:r w:rsidRPr="009E1944">
              <w:rPr>
                <w:rFonts w:ascii="Times New Roman" w:eastAsia="Times New Roman" w:hAnsi="Times New Roman" w:cs="Times New Roman"/>
                <w:color w:val="212529"/>
                <w:sz w:val="24"/>
                <w:szCs w:val="24"/>
                <w:lang w:val="en-US" w:eastAsia="ru-RU"/>
              </w:rPr>
              <w:t xml:space="preserve">European Comission / Research Executive Agency under a Marie Curie International Incoming Fellowship; «Novel strategic approach to design better vaccines” “INNOVAC” - PIIF-GA-2009-235538, 2009-2014 </w:t>
            </w:r>
            <w:r w:rsidRPr="009E1944">
              <w:rPr>
                <w:rFonts w:ascii="Times New Roman" w:eastAsia="Times New Roman" w:hAnsi="Times New Roman" w:cs="Times New Roman"/>
                <w:color w:val="212529"/>
                <w:sz w:val="24"/>
                <w:szCs w:val="24"/>
                <w:lang w:eastAsia="ru-RU"/>
              </w:rPr>
              <w:t>рр</w:t>
            </w:r>
            <w:r w:rsidRPr="009E1944">
              <w:rPr>
                <w:rFonts w:ascii="Times New Roman" w:eastAsia="Times New Roman" w:hAnsi="Times New Roman" w:cs="Times New Roman"/>
                <w:color w:val="212529"/>
                <w:sz w:val="24"/>
                <w:szCs w:val="24"/>
                <w:lang w:val="en-US" w:eastAsia="ru-RU"/>
              </w:rPr>
              <w:t xml:space="preserve">. European Comission /Research Executive Agency under a Marie Curie International Incoming Fellowship. </w:t>
            </w:r>
            <w:r w:rsidRPr="009E1944">
              <w:rPr>
                <w:rFonts w:ascii="Times New Roman" w:eastAsia="Times New Roman" w:hAnsi="Times New Roman" w:cs="Times New Roman"/>
                <w:color w:val="212529"/>
                <w:sz w:val="24"/>
                <w:szCs w:val="24"/>
                <w:lang w:eastAsia="ru-RU"/>
              </w:rPr>
              <w:t>Кафедра</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біології</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людини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та</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імунології</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має</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постійну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угоду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про</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співробітництво</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із</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лабораторією</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загальної</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біотехнології</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Університету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w:t>
            </w:r>
            <w:r w:rsidRPr="009E1944">
              <w:rPr>
                <w:rFonts w:ascii="Times New Roman" w:eastAsia="Times New Roman" w:hAnsi="Times New Roman" w:cs="Times New Roman"/>
                <w:color w:val="212529"/>
                <w:sz w:val="24"/>
                <w:szCs w:val="24"/>
                <w:lang w:val="en-US" w:eastAsia="ru-RU"/>
              </w:rPr>
              <w:t>.</w:t>
            </w:r>
            <w:r w:rsidRPr="009E1944">
              <w:rPr>
                <w:rFonts w:ascii="Times New Roman" w:eastAsia="Times New Roman" w:hAnsi="Times New Roman" w:cs="Times New Roman"/>
                <w:color w:val="212529"/>
                <w:sz w:val="24"/>
                <w:szCs w:val="24"/>
                <w:lang w:eastAsia="ru-RU"/>
              </w:rPr>
              <w:t>Турку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Фінляндія</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w:t>
            </w:r>
            <w:r w:rsidRPr="009E1944">
              <w:rPr>
                <w:rFonts w:ascii="Times New Roman" w:eastAsia="Times New Roman" w:hAnsi="Times New Roman" w:cs="Times New Roman"/>
                <w:color w:val="212529"/>
                <w:sz w:val="24"/>
                <w:szCs w:val="24"/>
                <w:lang w:val="en-US" w:eastAsia="ru-RU"/>
              </w:rPr>
              <w:t xml:space="preserve"> 2016 </w:t>
            </w:r>
            <w:r w:rsidRPr="009E1944">
              <w:rPr>
                <w:rFonts w:ascii="Times New Roman" w:eastAsia="Times New Roman" w:hAnsi="Times New Roman" w:cs="Times New Roman"/>
                <w:color w:val="212529"/>
                <w:sz w:val="24"/>
                <w:szCs w:val="24"/>
                <w:lang w:eastAsia="ru-RU"/>
              </w:rPr>
              <w:t>році</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підписана</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угоду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в</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межах</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програми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академічної</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мобільності</w:t>
            </w:r>
            <w:r w:rsidRPr="009E1944">
              <w:rPr>
                <w:rFonts w:ascii="Times New Roman" w:eastAsia="Times New Roman" w:hAnsi="Times New Roman" w:cs="Times New Roman"/>
                <w:color w:val="212529"/>
                <w:sz w:val="24"/>
                <w:szCs w:val="24"/>
                <w:lang w:val="en-US" w:eastAsia="ru-RU"/>
              </w:rPr>
              <w:t xml:space="preserve"> Erasmus+ Mobility with partner countries programme, </w:t>
            </w:r>
            <w:r w:rsidRPr="009E1944">
              <w:rPr>
                <w:rFonts w:ascii="Times New Roman" w:eastAsia="Times New Roman" w:hAnsi="Times New Roman" w:cs="Times New Roman"/>
                <w:color w:val="212529"/>
                <w:sz w:val="24"/>
                <w:szCs w:val="24"/>
                <w:lang w:eastAsia="ru-RU"/>
              </w:rPr>
              <w:t>на</w:t>
            </w:r>
            <w:r w:rsidRPr="009E1944">
              <w:rPr>
                <w:rFonts w:ascii="Times New Roman" w:eastAsia="Times New Roman" w:hAnsi="Times New Roman" w:cs="Times New Roman"/>
                <w:color w:val="212529"/>
                <w:sz w:val="24"/>
                <w:szCs w:val="24"/>
                <w:lang w:val="en-US" w:eastAsia="ru-RU"/>
              </w:rPr>
              <w:t xml:space="preserve"> 2016-2018 </w:t>
            </w:r>
            <w:r w:rsidRPr="009E1944">
              <w:rPr>
                <w:rFonts w:ascii="Times New Roman" w:eastAsia="Times New Roman" w:hAnsi="Times New Roman" w:cs="Times New Roman"/>
                <w:color w:val="212529"/>
                <w:sz w:val="24"/>
                <w:szCs w:val="24"/>
                <w:lang w:eastAsia="ru-RU"/>
              </w:rPr>
              <w:t>роки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з</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правом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подовження</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з</w:t>
            </w:r>
            <w:r w:rsidRPr="009E1944">
              <w:rPr>
                <w:rFonts w:ascii="Times New Roman" w:eastAsia="Times New Roman" w:hAnsi="Times New Roman" w:cs="Times New Roman"/>
                <w:color w:val="212529"/>
                <w:sz w:val="24"/>
                <w:szCs w:val="24"/>
                <w:lang w:val="en-US" w:eastAsia="ru-RU"/>
              </w:rPr>
              <w:t xml:space="preserve"> Adam Mickiewicz University in Poznań, Faculty of Biology. </w:t>
            </w:r>
            <w:r w:rsidRPr="009E1944">
              <w:rPr>
                <w:rFonts w:ascii="Times New Roman" w:eastAsia="Times New Roman" w:hAnsi="Times New Roman" w:cs="Times New Roman"/>
                <w:color w:val="212529"/>
                <w:sz w:val="24"/>
                <w:szCs w:val="24"/>
                <w:lang w:eastAsia="ru-RU"/>
              </w:rPr>
              <w:t>Реалізація</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програм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Подвійний</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диплом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є</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пріоритетним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напрямом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розвитку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ХДУ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Були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підписані</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угоди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між</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ХДУ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та</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Університетом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економіки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в</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Бидгощ</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Польща</w:t>
            </w:r>
            <w:r w:rsidRPr="009E1944">
              <w:rPr>
                <w:rFonts w:ascii="Times New Roman" w:eastAsia="Times New Roman" w:hAnsi="Times New Roman" w:cs="Times New Roman"/>
                <w:color w:val="212529"/>
                <w:sz w:val="24"/>
                <w:szCs w:val="24"/>
                <w:lang w:val="en-US" w:eastAsia="ru-RU"/>
              </w:rPr>
              <w:t xml:space="preserve">) – 2013 </w:t>
            </w:r>
            <w:r w:rsidRPr="009E1944">
              <w:rPr>
                <w:rFonts w:ascii="Times New Roman" w:eastAsia="Times New Roman" w:hAnsi="Times New Roman" w:cs="Times New Roman"/>
                <w:color w:val="212529"/>
                <w:sz w:val="24"/>
                <w:szCs w:val="24"/>
                <w:lang w:eastAsia="ru-RU"/>
              </w:rPr>
              <w:t>рік</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між</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ХДУ</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та</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Поморською</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академією</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про</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реалізацію</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програми</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Подвійний</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диплом</w:t>
            </w:r>
            <w:r w:rsidRPr="009E1944">
              <w:rPr>
                <w:rFonts w:ascii="Times New Roman" w:eastAsia="Times New Roman" w:hAnsi="Times New Roman" w:cs="Times New Roman"/>
                <w:color w:val="212529"/>
                <w:sz w:val="24"/>
                <w:szCs w:val="24"/>
                <w:lang w:val="en-US" w:eastAsia="ru-RU"/>
              </w:rPr>
              <w:t xml:space="preserve">» - 2014 </w:t>
            </w:r>
            <w:r w:rsidRPr="009E1944">
              <w:rPr>
                <w:rFonts w:ascii="Times New Roman" w:eastAsia="Times New Roman" w:hAnsi="Times New Roman" w:cs="Times New Roman"/>
                <w:color w:val="212529"/>
                <w:sz w:val="24"/>
                <w:szCs w:val="24"/>
                <w:lang w:eastAsia="ru-RU"/>
              </w:rPr>
              <w:t>рік</w:t>
            </w:r>
            <w:r w:rsidRPr="009E1944">
              <w:rPr>
                <w:rFonts w:ascii="Times New Roman" w:eastAsia="Times New Roman" w:hAnsi="Times New Roman" w:cs="Times New Roman"/>
                <w:color w:val="212529"/>
                <w:sz w:val="24"/>
                <w:szCs w:val="24"/>
                <w:lang w:val="en-US" w:eastAsia="ru-RU"/>
              </w:rPr>
              <w:t xml:space="preserve">. </w:t>
            </w:r>
            <w:r w:rsidRPr="009E1944">
              <w:rPr>
                <w:rFonts w:ascii="Times New Roman" w:eastAsia="Times New Roman" w:hAnsi="Times New Roman" w:cs="Times New Roman"/>
                <w:color w:val="212529"/>
                <w:sz w:val="24"/>
                <w:szCs w:val="24"/>
                <w:lang w:eastAsia="ru-RU"/>
              </w:rPr>
              <w:t>Найпоширеніші університети та програми, в яких брали участь студенти ХДУ: Поморська академія в м.Слупськ (Польща); Університет Альпен-Адріа, Клагенфурт (Австрія); Вища економічна школа в м. Бидгощ (Польща).</w:t>
            </w:r>
          </w:p>
        </w:tc>
      </w:tr>
    </w:tbl>
    <w:p w:rsidR="009E1944" w:rsidRDefault="009E1944" w:rsidP="009E1944">
      <w:pPr>
        <w:shd w:val="clear" w:color="auto" w:fill="FFFFFF"/>
        <w:tabs>
          <w:tab w:val="left" w:pos="9356"/>
        </w:tabs>
        <w:spacing w:line="240" w:lineRule="auto"/>
        <w:ind w:right="1416"/>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5. Контрольні заходи, оцінювання здобувачів вищої освіти та академічна доброчесність</w:t>
      </w:r>
    </w:p>
    <w:tbl>
      <w:tblPr>
        <w:tblW w:w="11332" w:type="dxa"/>
        <w:tblLayout w:type="fixed"/>
        <w:tblCellMar>
          <w:top w:w="15" w:type="dxa"/>
          <w:left w:w="15" w:type="dxa"/>
          <w:bottom w:w="15" w:type="dxa"/>
          <w:right w:w="15" w:type="dxa"/>
        </w:tblCellMar>
        <w:tblLook w:val="04A0" w:firstRow="1" w:lastRow="0" w:firstColumn="1" w:lastColumn="0" w:noHBand="0" w:noVBand="1"/>
      </w:tblPr>
      <w:tblGrid>
        <w:gridCol w:w="2402"/>
        <w:gridCol w:w="8930"/>
      </w:tblGrid>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форми контрольних заходів у межах навчальни</w:t>
            </w:r>
            <w:r w:rsidRPr="009E1944">
              <w:rPr>
                <w:rFonts w:ascii="Times New Roman" w:eastAsia="Times New Roman" w:hAnsi="Times New Roman" w:cs="Times New Roman"/>
                <w:b/>
                <w:bCs/>
                <w:color w:val="212529"/>
                <w:sz w:val="24"/>
                <w:szCs w:val="24"/>
                <w:lang w:eastAsia="ru-RU"/>
              </w:rPr>
              <w:lastRenderedPageBreak/>
              <w:t>х дисциплін ОП дозволяють перевірити досягнення програмних результатів навчання?</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При складанні робочих програм дисциплін, що є освітніми компонентами ОП Середня освіта (Біологія та здоров’я людини) враховуються компетентності та програмні результати навчання, необхідні здобувачу для опанування ОП. Підсумкові теки НМКД зорієнтовані на програмні результати начання. http://www.kspu.edu/About/Faculty/Faculty_of_biolog_geograf_ecol/DepartmentofHumanBiologyandImmunology/Teaching.aspx На практичних (лабораторних, семінарських) заняттях здійснюється поточний контроль </w:t>
            </w:r>
            <w:r w:rsidRPr="009E1944">
              <w:rPr>
                <w:rFonts w:ascii="Times New Roman" w:eastAsia="Times New Roman" w:hAnsi="Times New Roman" w:cs="Times New Roman"/>
                <w:color w:val="212529"/>
                <w:sz w:val="24"/>
                <w:szCs w:val="24"/>
                <w:lang w:eastAsia="ru-RU"/>
              </w:rPr>
              <w:lastRenderedPageBreak/>
              <w:t>знань студентів, рефлексія набутих ними компетентностей. Рубіжний контроль проводиться письмово і усно. Атестація випускників ОП проводиться у формі захисту кваліфікаційної роботи та комплексного іспиту за фахом (еволюція та філогенія органічного світу, методика викладання фахових біологічних дисциплін у ЗВО, методика навчання основ здоров’я). Проведення та критерії оцінювання атестації регламентуються Положеннями про порядок створення та організацію роботи екзаменаційної комісії з атестації здобувачів вищої освіти в ХДУ (Наказ № 878-Д від 01.11.19р.). У разі набуття випускником відповідних програмних результатів навчання за ОП, йому видається документ встановленого зразка про присудження другого (магістерського) рівня вищої освіти і з присвоєнням відповідної кваліфікації.</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забезпечуються чіткість та зрозумілість форм контрольних заходів та критеріїв оцінювання навчальних досягнень здобувачів вищої освіти?</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Для оцінювання навчальних досягнень здобувачів ОП використовується поточний та підсумковий контроль. Контрольні заходи регламентуються Положеннями про організацію освітнього процесу в ХДУ (881-Д від 01.11.19р.) та Положеннями про порядок оцінювання знань студентів при кредитно-трансферній системі організації освітнього процесу в ХДУ (218-Д від 29.03.16 р.). Поточний контроль здійснюється під час проведення практичних, лабораторних, семінарських занять і відображає його поточні навчальні досягнення в засвоєнні програмного матеріалу з дисципліни. Атестаційний (проміжний) контроль здійснюється після вивчення матеріалу з логічно завершеної частини дисципліни, модуля, визначеного робочою навчальною програмою. Семестровий контроль моживий в двох формах: диференційований залік/залік оформлюється на останньому в цьому модулі занятті або за результатами усіх видів роботи студента за цей період, або за результатами контрольної роботи; екзамен проводиться у формі контрольної роботи. Здійснюється за розкладом, затвердженим у встановленому порядку, і у терміни, визначені графіком навчального процесу. 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ЄКТС. За результатами сесій складається рейтинг успішності студентів, які обговорюються на засіданнях Вченої ради факультету та випускової кафедри.</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і у які строки інформація про форми контрольних заходів та критерії оцінювання доводяться до здобувачів вищої освіти?</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Навчання студента здійснюється за індивідуальним навчальним планом, який складається напередодні навчального року, на підставі робочого навчального плану і включає всі нормативні навчальні дисципліни та частину вибіркових навчальних дисциплін, вибраних студентом з обов’язковим урахуванням структурно-логічної схеми підготовки. Індивідуальний навчальний план складається на кожний навчальний рік і затверджується деканом факультету. У навчальному плані наявні всі форми контроля кожної освітньої компоненти. Робочі програми дисциплін містять детальні критерії оцінювання кожного виду роботи студента, форму атестаційного контролю з даної дисципліни, модуль практичних/лабораторних та самостійної роботи. Студентів інформують на першому заняття про вимоги та критерії оцінювання з навчальної дисципліни та форму підсумкового контролю. Додатково з питаннями, які виносяться на підсумковий контроль, та переліком необхідних завдань студенти можуть ознайомитися на сайті ХДУ та у методичному кабінеті кафедри біології і імунології у робочих програмах. http://www.kspu.edu/About/Faculty/Faculty_of_biolog_geograf_ecol/Depart</w:t>
            </w:r>
            <w:r w:rsidRPr="009E1944">
              <w:rPr>
                <w:rFonts w:ascii="Times New Roman" w:eastAsia="Times New Roman" w:hAnsi="Times New Roman" w:cs="Times New Roman"/>
                <w:color w:val="212529"/>
                <w:sz w:val="24"/>
                <w:szCs w:val="24"/>
                <w:lang w:eastAsia="ru-RU"/>
              </w:rPr>
              <w:lastRenderedPageBreak/>
              <w:t>mentofHumanBiologyandImmunology/Teaching.aspx Інформацію про форми контрольних заходів та критерії оцінювання регламентує Положення про систему оцінювання знань студентів при кредитно-трансферній системі організації освітнього процесу в Херсонському державному університеті (Наказ № 218-Д від 29.03.16 р.).</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форми атестації здобувачів вищої освіти відповідають вимогам стандарту вищої освіти (за наявності)?</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Державний стандарт вищої освіти за ОП Середня освіта (Біологія та здоров’я людини) – відсутній</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документом ЗВО регулюється процедура проведення контрольних заходів? Яким чином забезпечується його доступність для учасників освітнього процесу?</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Для оцінювання навчальних досягнень здобувачів ОП використовується поточний та підсумковий контроль. Контрольні заходи регламентуються «Положеннями про організацію освітнього процесу в ХДУ» (наказ № 880-Д від 01.11.19 р.) та Положенням про систему оцінювання знань студентів. Документ наявний у електронному доступі за адресою: http://www.kspu.edu/About/DepartmentAndServices/DAcademicServ.aspx Кожна навчальна дисципліна має у робочій програмі перелік критеріїв оцінювання кожного виду діяльності. Робочі програми також наявні у електронному вигладі за адресою: http://www.kspu.edu/About/Faculty/Faculty_of_biolog_geograf_ecol/DepartmentofHumanBiologyandImmunology/Teaching.aspx Окрім того, у рамках моніторингу одного з показників якості освіти в Херсонському державному університеті здійснюється (крім традиційних комплексних контрольних робіт (ККР) і комплексних кваліфікаційних завдань (ККЗ)) ректорський контроль якості знань (рішенням Вченої ради ХДУ на базі навчально-методичного відділу створено відділ забезпечення якості освіти, протокол №4, від 28.10.19 р.)</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Яким чином ці процедури забезпечують об’єктивність екзаменаторів? Якими є процедури запобігання та врегулювання конфлікту </w:t>
            </w:r>
            <w:r w:rsidRPr="009E1944">
              <w:rPr>
                <w:rFonts w:ascii="Times New Roman" w:eastAsia="Times New Roman" w:hAnsi="Times New Roman" w:cs="Times New Roman"/>
                <w:b/>
                <w:bCs/>
                <w:color w:val="212529"/>
                <w:sz w:val="24"/>
                <w:szCs w:val="24"/>
                <w:lang w:eastAsia="ru-RU"/>
              </w:rPr>
              <w:lastRenderedPageBreak/>
              <w:t>інтересів? Наведіть приклади застосування відповідних процедур на ОП</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В ХДУ внутрішня система забезпечення якості освіти визначається частиною 2 статті 41 Закону України «Про освіту», статтею 16 п.3 статті 32 Закону України «Про вищу освіту» та як обов’язкова норма уведена до Статуту ХДУ (розділ 1 п. 2.10 та розділ 2 п.4.3.2). Система ґрунтується на положеннях розділу VII «Вимоги до наявності системи внутрішнього забезпечення якості вищої освіти» Методичних рекомендацій щодо розроблення стандартів вищої освіти (наказ № 600 від 01.06.16), на принципах, викладених у «Стандартах і рекомендаціях щодо забезпечення якості в Європейському просторі вищої освіти» Європейської асоціації із забезпечення якості вищої освіти. У внутрішній системі управління якістю значне місце відводиться участі студентів у процедурах забезпечення якості освітньої діяльності, що передбачає: - анонімне анкетування студентів з питань якості освіти в університеті; - анонімне визначення за допомогою електронної програми «Feedback» педагогічних якостей викладачів, які обираються за конкурсом; - створення на факультетах студентських груп моніторингу, для швидкого </w:t>
            </w:r>
            <w:r w:rsidRPr="009E1944">
              <w:rPr>
                <w:rFonts w:ascii="Times New Roman" w:eastAsia="Times New Roman" w:hAnsi="Times New Roman" w:cs="Times New Roman"/>
                <w:color w:val="212529"/>
                <w:sz w:val="24"/>
                <w:szCs w:val="24"/>
                <w:lang w:eastAsia="ru-RU"/>
              </w:rPr>
              <w:lastRenderedPageBreak/>
              <w:t>та об’єктивного зв’язка «викладач–студент» та для надання інформації та пропозицій за результатами моніторингу з питань освітнього процесу. До складу цих груп входять старости груп, представники органів студентського самоврядування. Об’єктивність екзаменаторів збільшується шляхом збільшення письмових форм контролю. Критерії оцінювання кожної форми роботи наявні у вільному доступі у робочих програмах дисциплін.</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процедури ЗВО урегульовують порядок повторного проходження контрольних заходів? Наведіть приклади застосування відповідних правил на ОП</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У разі відсутності на екзамені з поважних причин студент (або його рідні), має особисто не пізніше наступного після екзамену дня повідомити деканат (куратора) про причини неможливості складання екзамену. Розпорядженням декана такому студенту встановлюється індивідуальний термін складання із зазначенням кінцевого строку. Якщо термін індивідуального складання семестрового контролю виходить за межі сесії, питання розглядає проректор з навчальної та науково-педагогічної роботи за заявою студента з візою декана факультету. Студенти, які не з’явились на екзамени без поважних причин, вважаються такими, що одержали незадовільну оцінку. Студентам, які одержали під час сесії/семестрового контролю незадовільні оцінки, дозволяється ліквідувати академзаборгованість до початку наступного семестру у терміни, визначені графіком навчального процесу на поточний навчальний рік. Повторне складання екзаменів (заліків) допускається не більше двох разів з кожної дисципліни: один раз викладачу, який здійснював семестровий контроль, другий – комісії. До складу комісії обов’язково включається педагог, який викладав цю навчальну дисципліну, а також викладачі кафедри певного профілю. Декан факультету призначає склад комісії, але сам до складу комісії не входить. Впродовж 2018-2019 н.р. повторну здачу заліково-екзаменаційної сесії проходили: Курах В. – «Науково-дослідний практикум з біології», «Сенсорна фізіологія», «Основи генної інженерії»; Дробот Є., Подгурський О. – «Основи генної інженерії».</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процедури ЗВО урегульовують порядок оскарження процедури та результатів проведення контрольних заходів? Наведіть приклади застосування відповідни</w:t>
            </w:r>
            <w:r w:rsidRPr="009E1944">
              <w:rPr>
                <w:rFonts w:ascii="Times New Roman" w:eastAsia="Times New Roman" w:hAnsi="Times New Roman" w:cs="Times New Roman"/>
                <w:b/>
                <w:bCs/>
                <w:color w:val="212529"/>
                <w:sz w:val="24"/>
                <w:szCs w:val="24"/>
                <w:lang w:eastAsia="ru-RU"/>
              </w:rPr>
              <w:lastRenderedPageBreak/>
              <w:t>х правил на ОП</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За результатами письмових контрольних заходів здобувачі мають право подати апеляцію на отриману оцінку згідно «Положень про організацію освітнього процесу в ХДУ» (наказ № 881-Д від 01.11.19р.) Апеляції розглядає апеляційна комісія ХДУ, склад та порядок роботи якої затверджуються наказом ректор. Апеляція повинна бути обґрунтованою і подається до навчального відділу особисто вступником у вигляді заяви на ім’я голови Апеляційної комісії тільки у письмовій формі. Апеляційна заява подається не пізніше наступного робочого дня після оголошення екзаменаційної оцінки. Апеляційні заяви, які подаються не в установлені терміни, до розгляду не приймаються. Апеляційні заяви від родичів здобувачів, не приймаються й не розглядаються. Апеляція розглядається на засіданні не пізніше наступного робочого дня після її подання. При поданні апеляції здобувачу в усній формі повідомляється дата, час і місце розгляду апеляції. Присутність заявника на засіданні апеляційної комісії є обов’язковою. Під час розгляду апеляції на засідання апеляційної комісії не допускаються особи, які не призначені для розгляду апеляції. Результати апеляції оголошуються здобувачу відразу після закінчення розгляду його роботи. Здобувачу пропонується підписати протокол апеляційної комісії та вказати в ньому про свою згоду або незгоду з рішенням апеляційної комісії. В університеті також створена гаряча </w:t>
            </w:r>
            <w:r w:rsidRPr="009E1944">
              <w:rPr>
                <w:rFonts w:ascii="Times New Roman" w:eastAsia="Times New Roman" w:hAnsi="Times New Roman" w:cs="Times New Roman"/>
                <w:color w:val="212529"/>
                <w:sz w:val="24"/>
                <w:szCs w:val="24"/>
                <w:lang w:eastAsia="ru-RU"/>
              </w:rPr>
              <w:lastRenderedPageBreak/>
              <w:t>лінія, скринька довіри. Також студенти мають право особисто записатись у робочі години на прийом до керівництва ХДУ.</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Які документи ЗВО містять політику, стандарти і процедури дотримання академічної доброчесності?</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У Херсонському державному університеті наявні розпорядження, накази, положення, що містять інформацію про політику, стандарти і процедури дотримання академічної доброчесності: • Розпорядження проректора з наукової роботи ХДУ від 03.09.2018 №18 18 «Про використання в роботі рекомендацій щодо запобігання академічному плагіату та виявлення його в наукових роботах»; • Наказ ХДУ від 07.11.2018 № 926-Д «Про використання в роботі методичних рекомендацій МОН України для ЗВО з підтримки принципів академічної доброчесності»; • Положення про комісію з питань академічної доброчесності ХДУ; • Методичні рекомендації для закладів вищої освіти з підтримки принципів академічної доброчесності; • Розширений глосарій термінів та понять із академічної доброчесності; • Рекомендації щодо запобігання академічному плагіату; • Положення про академічну доброчесність ХДУ тощо. З усіма документами можна ознайомитися за посиланнями: http://www.kspu.edu/Information/Academicintegrity.aspx</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Які технологічні рішення використовуються на ОП як інструменти протидії порушенням академічної доброчесності?</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Порядок виявлення та встановлення фактів порушення академічної доброчесності учасниками освітнього процесу визначається комісією з питань академічної доброчесності учасників освітнього процесу Університету http://www.kspu.edu/Information/Academicintegrity.aspx. В ХДУ створений репозитарій (http://ekhsuir.kspu.edu/), у який подаються всі кваліфікаційні роботи здобувачів. Кожна кваліфікаційна робота проходить перевірку на антиплагіат, що відображується у експертному висновку на кваліфікаційні роботи. З червня 2018 р. укладено договір про співпрацю з ТОВ «Антиплагіат» (без фінансових зобов’язань) з метою виявлення академічного плагіату в наукових роботах. Через сервіс Unicheck перевірено протягом 2018/19 н.р. 1497 документів. З 2019 року підписано угоду про перевірку статей, поданих до друку в наукових фахових виданнях університету Студенти мають змогу самостійно перевірити власні роботи на наявність плагіату за допомогою сервісу https://my.plagscout.com/login. Розповсюдження етичних норм щодо академічної доброчесності здійснюється через органи студентського самоврядування, первинній профспілковій організації студентів та аспірантів. Уведення до виховної роботи факультетів, кафедр, освітніх центрів заходів із формування у здобувачів вищої освіти етичних норм, що унеможливлюють академічний плагіат.</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ЗВО популяризує академічну доброчесність серед здобувачів вищої освіти ОП?</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Для попередження недотримання норм та правил академічної доброчесності та популяризації норм академічної доброчесності учасниками освітнього процесу в Університеті використовується такий комплекс профілактичних заходів: - ознайомлення учасників освітнього процесу з документами, що унормовують запобігання академічного плагіату та встановлюють відповідальність за академічний плагіат; - формування та розповсюдження методичних матеріалів із визначенням вимог щодо належного оформлення посилань на використані в наукових і навчальних працях матеріали; - проведення семінарів із здобувачами з питань інформаційної діяльності Університету, правильності написання наукових робіт; - уведення до освітніх програм і навчальних планів навчальних дисциплін, що забезпечують формування загальних компетентностей з дотримання етичних норм і принципів, коректного менеджменту інформації під час роботи з первинними та вторинними інформаційними ресурсами та об’єктами інтелектуальної власності; - </w:t>
            </w:r>
            <w:r w:rsidRPr="009E1944">
              <w:rPr>
                <w:rFonts w:ascii="Times New Roman" w:eastAsia="Times New Roman" w:hAnsi="Times New Roman" w:cs="Times New Roman"/>
                <w:color w:val="212529"/>
                <w:sz w:val="24"/>
                <w:szCs w:val="24"/>
                <w:lang w:eastAsia="ru-RU"/>
              </w:rPr>
              <w:lastRenderedPageBreak/>
              <w:t>сприяння органам студентського самоврядування, первинній профспілковій організації студентівта аспірантів, науковому товариству студентів, аспірантів, докторантів і молодих учених в інформуванні осіб, які навчаються, про правила наукової етики; - уведення до виховної роботи заходів із формування у здобувачів вищої освіти етичних норм, що унеможливлюють академічний плагіат; - експертна оцінка, щодо ознак академічного плагіату у випускних та дисертаційних роботах, підготовлених до захисту тощо.</w:t>
            </w:r>
          </w:p>
        </w:tc>
      </w:tr>
      <w:tr w:rsidR="009E1944" w:rsidRPr="009E1944" w:rsidTr="002C7691">
        <w:tc>
          <w:tcPr>
            <w:tcW w:w="2402"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D56CC5">
            <w:pPr>
              <w:tabs>
                <w:tab w:val="left" w:pos="9356"/>
              </w:tabs>
              <w:spacing w:after="0" w:line="240" w:lineRule="auto"/>
              <w:ind w:left="119" w:right="977"/>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ЗВО реагує на порушення академічної доброчесності? Наведіть приклади відповідних ситуацій щодо здобувачів вищої освіти відповідної ОП</w:t>
            </w:r>
          </w:p>
        </w:tc>
        <w:tc>
          <w:tcPr>
            <w:tcW w:w="8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tabs>
                <w:tab w:val="left" w:pos="9356"/>
              </w:tabs>
              <w:spacing w:after="0" w:line="240" w:lineRule="auto"/>
              <w:ind w:right="1416"/>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За порушення правил академічної доброчесності до здобувачів вищої освіти застосовуються заходи дисциплінарної відповідальності відповідно до вимог законодавства України, Статуту Університету, Правил внутрішнього розпорядку та інших нормативних актів Університету. Порушення загальноприйнятих норм поведінки, ігнорування норм етики, моралі та громадської свідомості, етичних норм академічної та наукової діяльності розглядає комісія з питань академічної доброчесності та етики, як вчинення аморального проступку, що за своїм характером несумісний із продовженням роботи, навчання в Університеті. Відповідальність за порушення академічної доброчесності учасниками освітнього процесу Університету може бути така: - повторне проходження оцінювання (контрольна робота, іспит, залік тощо); - повторне проходження відповідного освітнього компонента освітньої програми; - відрахування із Університету; - позбавлення академічної стипендії; - позбавлення наданих Університетом пільг з оплати навчання. Серед здобувачів ОП порушень доброчесності не зафіксовано.</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6. Людські ресурси</w:t>
      </w:r>
    </w:p>
    <w:tbl>
      <w:tblPr>
        <w:tblW w:w="11191" w:type="dxa"/>
        <w:tblCellMar>
          <w:top w:w="15" w:type="dxa"/>
          <w:left w:w="15" w:type="dxa"/>
          <w:bottom w:w="15" w:type="dxa"/>
          <w:right w:w="15" w:type="dxa"/>
        </w:tblCellMar>
        <w:tblLook w:val="04A0" w:firstRow="1" w:lastRow="0" w:firstColumn="1" w:lastColumn="0" w:noHBand="0" w:noVBand="1"/>
      </w:tblPr>
      <w:tblGrid>
        <w:gridCol w:w="2021"/>
        <w:gridCol w:w="9170"/>
      </w:tblGrid>
      <w:tr w:rsidR="009E1944" w:rsidRPr="009E1944" w:rsidTr="002C7691">
        <w:tc>
          <w:tcPr>
            <w:tcW w:w="2021"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чином під час конкурсного добору викладачів ОП забезпечується необхідний рівень їх професіоналізму?</w:t>
            </w:r>
          </w:p>
        </w:tc>
        <w:tc>
          <w:tcPr>
            <w:tcW w:w="91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Під час конкурсного відбору НПП університету застосовується Моніторинг діяльності науково-педагогічного працівника ХДУ, який бере участь у конкурсі на заміщення вакантної посади, схвалений рішенням вченої ради університету (протокол від 29.10.18 р. №3) та затверджений наказом від 01.11.18 № 901-Д. Оцінювання діяльності НПП здійснюється на підставі сімох груп показників: 1. Науково-дослідницька робота і міжнародна діяльність. 2. Науково-організаційна робота і організаційно-мистецька діяльність. 3. Оприлюднення результатів наукової, науково-методичної та мистецької діяльності. 4. Освітня діяльність. 5. Соціально-гуманітарна діяльність. 6. Науково-педагогічний потенціал. 7. Рейтингові показники. При цьому конкурсна комісія може призначати науково-педагогічному працівникові додаткові рейтингові бали, за особливо вагомі досягнення, не враховані цими показниками. Методика оцінювання діяльності науково-педагогічного працівника, містить, перелік показників за групами, індикатори вимірювання, кількість балів і вагові коефіцієнти, оцінний лист визначення рейтингових балів діяльності науково-педагогічного працівника та додаток до оцінного листа визначення рейтингових балів.</w:t>
            </w:r>
          </w:p>
        </w:tc>
      </w:tr>
      <w:tr w:rsidR="009E1944" w:rsidRPr="009E1944" w:rsidTr="002C7691">
        <w:tc>
          <w:tcPr>
            <w:tcW w:w="2021"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Опишіть, із посиланням на конкретні приклади, яким чином ЗВО залучає роботодавців до організації та реалізації </w:t>
            </w:r>
            <w:r w:rsidRPr="009E1944">
              <w:rPr>
                <w:rFonts w:ascii="Times New Roman" w:eastAsia="Times New Roman" w:hAnsi="Times New Roman" w:cs="Times New Roman"/>
                <w:b/>
                <w:bCs/>
                <w:color w:val="212529"/>
                <w:sz w:val="24"/>
                <w:szCs w:val="24"/>
                <w:lang w:eastAsia="ru-RU"/>
              </w:rPr>
              <w:lastRenderedPageBreak/>
              <w:t>освітнього процесу</w:t>
            </w:r>
          </w:p>
        </w:tc>
        <w:tc>
          <w:tcPr>
            <w:tcW w:w="91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До атестації здобувачів ОП Середня освіта (Біологія та здоров’я людини) залучаються професіонали-практики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наказ № 878-Д, 01.11.2019 р.). Головою екзаменаційної комісії призначається фахівець відповідної галузі або провідний науковець, відповідного напряму наукової діяльності. Головою екзаменаційної комісії може призначатися науково-педагогічний працівник зі спеціальності, який не є працівником Херсонського державного університету. У ЕК на спеціальності Середня освіта (Біологія) запрошена голова Лагутіна Ганна Григорівна, в.о. лікаря Комунальної установи «Херсонський </w:t>
            </w:r>
            <w:r w:rsidRPr="009E1944">
              <w:rPr>
                <w:rFonts w:ascii="Times New Roman" w:eastAsia="Times New Roman" w:hAnsi="Times New Roman" w:cs="Times New Roman"/>
                <w:color w:val="212529"/>
                <w:sz w:val="24"/>
                <w:szCs w:val="24"/>
                <w:lang w:eastAsia="ru-RU"/>
              </w:rPr>
              <w:lastRenderedPageBreak/>
              <w:t>обласний центр крові» Херсонської обласної ради (розпорядження № 844-д від 17.10.19 р.).</w:t>
            </w:r>
          </w:p>
        </w:tc>
      </w:tr>
      <w:tr w:rsidR="009E1944" w:rsidRPr="009E1944" w:rsidTr="002C7691">
        <w:tc>
          <w:tcPr>
            <w:tcW w:w="2021"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із посиланням на конкретні приклади, яким чином ЗВО залучає до аудиторних занять на ОП професіоналів-практиків, експертів галузі, представників роботодавців</w:t>
            </w:r>
          </w:p>
        </w:tc>
        <w:tc>
          <w:tcPr>
            <w:tcW w:w="91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До аудиторних занять на ОП ЗВО долучає професіоналів-практиків, експертів галузі та представників роботодавців під час проведення профорієнтаційних заходів (розпорядження ХДУ 35 від 23.09.2019р., 38 від 26.09.2019 р., 64 від 11.12.2018р., 69 від 28.01.2019 р., 125а від 27.03.2019 р., 120а від 25.02.2019 р., 123а від 26.03.2019 р., 90а від 28.02.2019 р., 130а від 29.03.2019 р., 141 від 03.04.2019 р.). Окрім того, студенти знайомляться із досвідом професіоналів-практиків на екскурсіях до оздоровчих та навчальних закладів м. Херсона. Так, здобувачами ОП була відвідана екскурсія у патоморфологічний музей при Клініко-діагностичній лікарні імені Б. Лучанського «Патологічні зміни органів та систем організму під впливом поганих звичок», проведену завідувачем патоморфологічної лабораторії Мазуренком С.М.</w:t>
            </w:r>
          </w:p>
        </w:tc>
      </w:tr>
      <w:tr w:rsidR="009E1944" w:rsidRPr="009E1944" w:rsidTr="002C7691">
        <w:tc>
          <w:tcPr>
            <w:tcW w:w="2021"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ЗВО сприяє професійному розвиткові викладачів ОП? Наведіть конкретні приклади такого сприяння</w:t>
            </w:r>
          </w:p>
        </w:tc>
        <w:tc>
          <w:tcPr>
            <w:tcW w:w="91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ХДУ згідно зі ст.52 Закону України «Про вищу освіту» та Положення про підвищення кваліфікації науково-педагогічних і педагогічних працівників ХДУ та про приймання на підвищення кваліфікації науково-педагогічних і педагогічних працівників (№771-Д, 03.10.19) забезпечує підвищення кваліфікації науково-педагогічних працівників за вибраною ними формою та видом навчання один раз на п’ять років. Метою підвищення кваліфікації є професійний розвиток працівників відповідно до державної політики в галузі освіти та забезпечення якості освіти. Основними видами підвищення кваліфікації є: навчання за програмою підвищення кваліфікації; стажування; участь у семінарах, практикумах, тренінгах, вебінарах, майстер-класах тощо. Професійний розвиток викладачів університету здійснюється й через аспірантуру, у якій проліцензовано 14 спеціальностей підготовки здобувачів вищої освіти ступеня доктора філософії за новим переліком, та через докторантуру за трьома спеціальностями. Викладачі ОП є членами Фізіологічного товариства та Всеукраїнського товариства ботаніків. Викладачі постійно приймають участь у Міжнародних та Всеукраїнських конференціях (ХХ з’їзд Українського фізіологічного товариства ім. П.Г. Костюка, Київ, 27-30.05.19р; І Всеукраїнська науково-практична конференція з міжнародною участтю «Природнича освіта і наука для сталого розвитку України: проблеми і перспективи», Глухів, 17р). Викладачі ОП використовують різноманітні форми саморозвитку: написання монографій, посібників, стажування тощо.</w:t>
            </w:r>
          </w:p>
        </w:tc>
      </w:tr>
      <w:tr w:rsidR="009E1944" w:rsidRPr="009E1944" w:rsidTr="002C7691">
        <w:tc>
          <w:tcPr>
            <w:tcW w:w="2021"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що ЗВО стимулює розвиток викладацької майстерності</w:t>
            </w:r>
          </w:p>
        </w:tc>
        <w:tc>
          <w:tcPr>
            <w:tcW w:w="91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Херсонський державний університет згідно зі ст.52 Закону України «Про вищу освіту» та Положення про підвищення кваліфікації науково-педагогічних і педагогічних працівників ХДУ та про приймання на підвищення кваліфікації науково-педагогічних і педагогічних працівників (№771-Д, 03.10.19) забезпечує підвищення кваліфікації науково-педагогічних працівників за вибраною ними формою та видом навчання один раз на п’ять років. Метою підвищення кваліфікації є професійний розвиток працівників відповідно до державної політики в галузі освіти та забезпечення якості освіти. Під час проходження конкурсного відбору враховується створення інтерактивних курсів викладачами, відео-лекцій, викладання іноземними мовами тощо. За кожну таку позицію нараховується певна кількість балів. Потім складається рейтингова шкала. В ХДУ діє програма заохочування за особисті досягнення у професійній, службовій, культурній, навчальній діяльності, бездоганну працю та особливі заслуги під час виконання службових обов’язків (положенняя про заохочувальні відзнаки ХДУ № 144-Д від 01.03.2017р.). Університет створює умови для участі у конференціях, проведенні наукових досліджень, написання наукових видань.</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7. Освітнє середовище та матеріальні ресурси</w:t>
      </w:r>
    </w:p>
    <w:tbl>
      <w:tblPr>
        <w:tblW w:w="11332" w:type="dxa"/>
        <w:tblCellMar>
          <w:top w:w="15" w:type="dxa"/>
          <w:left w:w="15" w:type="dxa"/>
          <w:bottom w:w="15" w:type="dxa"/>
          <w:right w:w="15" w:type="dxa"/>
        </w:tblCellMar>
        <w:tblLook w:val="04A0" w:firstRow="1" w:lastRow="0" w:firstColumn="1" w:lastColumn="0" w:noHBand="0" w:noVBand="1"/>
      </w:tblPr>
      <w:tblGrid>
        <w:gridCol w:w="2544"/>
        <w:gridCol w:w="8788"/>
      </w:tblGrid>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Продемонструйте, яким чином фінансові та матеріально-технічні ресурси (бібліотека, інша інфраструктура, обладнання тощо), а також навчально-методичне забезпечення ОП забезпечують досягнення визначених ОП цілей та програмних результатів навчання?</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Матеріальне та навчально-методичне забезпечення ОП здійснюється на базі лабораторій факультету біології, географії та екології: - Навчально-наукова лабораторія молекулярної екології, ауд. 614А; -Зоологічний музей, ауд. 624 - Навчальна лабораторія фізіології людини і тварин, ауд. 702 - Навчальна лабораторія анатомії людини, ауд. 708 - Навчальна лабораторія систематики рослин, ауд. 715 - Навчально-наукова лабораторія біорізноманіття та екологічного моніторингу, ауд. 717 - Навчально-наукова лабораторія молекулярної біології, ауд. 823. - Лабораторія активних форм навчання біології і екології, ауд. 614б</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яким чином освітнє середовище, створене у ЗВО, дозволяє задовольнити потреби та інтереси здобувачів вищої освіти ОП? Які заходи вживаються ЗВО задля виявлення і врахування цих потреб та інтересів?</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Освітнє середовище включає учбово-лабораторні корпуси №№ 1-6. Для навчання також використовуються приміщення, території (зали): «Фестивальна»; Агробіостанція-ботанічний сад; Навчально-тренувальний центр; СОТ «Буревісник»; Гуртожитки; Басейн; Спортивний майданчик. Також для задоволення потреб та інтересів здобувачів у ХДУ існує: - наукові студентські гуртки Положення про Наукове товариство студентів, аспірантів, докторантів і молодих учених ХДУ № 582-Д від 13.09.2017 р.); - фестиваль мистецтв ХДУ «Молода хвиля» (наказ № 110-Д від 8.02.19р.); - обласний літературно-творчий конкурс «Память серця» ім. проф. О.В. Мішукова (наказ ХДУ від 28.09.2018 р. № 789-Д); - навчально-тренувальний центр ХДУ (наказ від 29.06.2017 № 401-Д).</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ЗВО забезпечує безпечність освітнього середовища для життя та здоров’я здобувачів вищої освіти (включаючи психічне здоров’я)?</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В ХДУ існує служба охорони праці, безпеки життєдіяльності, що створена згідно з Законом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26.12.17р. №1669,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нещасним випадкам, професійним захворюванням і аваріям у процесі трудової діяльності та проведення навчально-виховної роботи з учасниками освітнього процесу в університеті. Усі приміщення, що використовуються для підготовки за ОП мають інструкції з техніки безпеки. Перед початком роботи студенти отримують інструктаж, про що робиться відповідний запис у журнали. Усі виходи на екскурсії зі студентами оформлюються належним чином з відповідним інструктажем та записом у журналі з техніки безпеки. У ХДУ є «Юридична клініка (Положення про від 25.02.19 №159-Д)», «Соціально-психологічна служба (Положення від 29.12.18 №1118-Д)», «Науково-практичний центр </w:t>
            </w:r>
            <w:proofErr w:type="gramStart"/>
            <w:r w:rsidRPr="009E1944">
              <w:rPr>
                <w:rFonts w:ascii="Times New Roman" w:eastAsia="Times New Roman" w:hAnsi="Times New Roman" w:cs="Times New Roman"/>
                <w:color w:val="212529"/>
                <w:sz w:val="24"/>
                <w:szCs w:val="24"/>
                <w:lang w:eastAsia="ru-RU"/>
              </w:rPr>
              <w:t>корекції ,</w:t>
            </w:r>
            <w:proofErr w:type="gramEnd"/>
            <w:r w:rsidRPr="009E1944">
              <w:rPr>
                <w:rFonts w:ascii="Times New Roman" w:eastAsia="Times New Roman" w:hAnsi="Times New Roman" w:cs="Times New Roman"/>
                <w:color w:val="212529"/>
                <w:sz w:val="24"/>
                <w:szCs w:val="24"/>
                <w:lang w:eastAsia="ru-RU"/>
              </w:rPr>
              <w:t xml:space="preserve"> реабілітації та розвитку дітей і молоді», «Оздоровча комісія ХДУ (Положення від 01.12.15 р. №713-Д)» Наявний медичний центр при ХДУ, робота якого спрямована на надання медичної допомоги студентам та співробітникам університет. Студенти повинні щорічно проходити медогляд та подавати довідки про нього у медпункт при ХДУ.</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Опишіть механізми освітньої, організаційної, інформаційної, консультативної та соціальної підтримки </w:t>
            </w:r>
            <w:r w:rsidRPr="009E1944">
              <w:rPr>
                <w:rFonts w:ascii="Times New Roman" w:eastAsia="Times New Roman" w:hAnsi="Times New Roman" w:cs="Times New Roman"/>
                <w:b/>
                <w:bCs/>
                <w:color w:val="212529"/>
                <w:sz w:val="24"/>
                <w:szCs w:val="24"/>
                <w:lang w:eastAsia="ru-RU"/>
              </w:rPr>
              <w:lastRenderedPageBreak/>
              <w:t>здобувачів вищої освіти? Яким є рівень задоволеності здобувачів вищої освіти цією підтримкою відповідно до результатів опитувань?</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Консультативна та соціальна підтримка здобувачів ОП здійснюється за допомогою таких структурних підрозділів: Юридична клініка (Положення ХДУ від 25.02.19 №159-Д), яка надає громадянам соціально вразливих верств населення безоплатних юридичних консультацій; надає безоплатної правової допомоги студентам, викладачам, співробітникам ХДУ; Соціально-психологічна служба (Положення ХДУ від 29.12.18 №1118-Д) ХДУ є важливою ланкою підготовки фахівців з вищою освітою </w:t>
            </w:r>
            <w:r w:rsidRPr="009E1944">
              <w:rPr>
                <w:rFonts w:ascii="Times New Roman" w:eastAsia="Times New Roman" w:hAnsi="Times New Roman" w:cs="Times New Roman"/>
                <w:color w:val="212529"/>
                <w:sz w:val="24"/>
                <w:szCs w:val="24"/>
                <w:lang w:eastAsia="ru-RU"/>
              </w:rPr>
              <w:lastRenderedPageBreak/>
              <w:t xml:space="preserve">і сприяє розвитку особистісного, інтелектуального, професійного потенціалу студентів, формуванню готовності до самостійного життя після навчання, адаптації до нових соціальних умов. Служба є самостійним структурним підрозділом ХДУ, підпорядковується ректору університету з усіх питань діяльності і знаходиться в оперативному управлінні декана соціально-психологічного факультету; співпрацює з Департаментом охорони здоров’я ХОДА, Управлінням молоді та спорту ХМС та іншими організаціями та установами; «Науково-практичний центр </w:t>
            </w:r>
            <w:proofErr w:type="gramStart"/>
            <w:r w:rsidRPr="009E1944">
              <w:rPr>
                <w:rFonts w:ascii="Times New Roman" w:eastAsia="Times New Roman" w:hAnsi="Times New Roman" w:cs="Times New Roman"/>
                <w:color w:val="212529"/>
                <w:sz w:val="24"/>
                <w:szCs w:val="24"/>
                <w:lang w:eastAsia="ru-RU"/>
              </w:rPr>
              <w:t>корекції ,</w:t>
            </w:r>
            <w:proofErr w:type="gramEnd"/>
            <w:r w:rsidRPr="009E1944">
              <w:rPr>
                <w:rFonts w:ascii="Times New Roman" w:eastAsia="Times New Roman" w:hAnsi="Times New Roman" w:cs="Times New Roman"/>
                <w:color w:val="212529"/>
                <w:sz w:val="24"/>
                <w:szCs w:val="24"/>
                <w:lang w:eastAsia="ru-RU"/>
              </w:rPr>
              <w:t xml:space="preserve"> реабілітації та розвитку дітей і молоді»; Оздоровча комісія ХДУ (положення від 01.12.15 р. №713-Д). Комісія розробляє і організовує проведення заходів пов’язаних з оздоровленням і відпочинком студентів, аспірантів, докторантів та співробітників університету та членів їх сімей на базі СОТ «Буревісник», а також контролює їх виконання. У ХДУ функціонує гуманітарний відділ http://www.kspu.edu/About/DepartmentAndServices/DOrganizWorkStudent.aspx, який інформує студентську молодь про їх права та соціальні гарантії у межах навчально-виховного процесу; Студентська профспілка http://www.kspu.edu/About/DepartmentAndServices/PrimaryStudUnion.aspx, яка забезпечує захист законних прав, інтересів студентів та надає інформаційну допомогу за питаннями і проблемами студентів. Можливістю першочергового переведення на навчання за кошти державного бюджету користуються особи, право яких на безоплатне навчання визначено відповідними Законами України, Указами Президента України та Урядовими рішеннями для студентів з числа: дітей-сиріт та дітей, позбавлених батьківського піклування віком до 23 років; інвалідів 1 та 2 груп та дітей-інвалідів; осіб, яким відповідно до Закону України «Про статус і соціальний захист громадян, які постраждали внаслідок Чорнобильської катастрофи» надане таке право; дітей військовослужбовців Збройних Сил України, інших військових формувань, працівників правоохоронних органів, які загинули під час виконання службових обов’язків; багатодітних сімей, до складу яких уходять п’ятеро і більше дітей; таких, які мають тяжке матеріальне становище тощо; студенти денної та заочної форм навчання, які є переможцями (лауреатами) всеукраїнських, європейських, світових чемпіонатів та змагань різних рівнів, творчих конкурсів, предметних олімпіад (конкурсів наукових робіт), зробили вагомий внесок у життя та розвиток ХДУ (факультету) та беруть активну участь в усіх напрямах діяльності університету (факультету) тощо.</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ЗВО створює достатні умови для реалізації права на освіту особами з особливими освітніми потребами? Наведіть посилання на конкретні приклади створення таких умов на ОП (якщо такі були)</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Університет створює умови для забезпечення осіб з особливими освітніми потребами реалізувати право на навчання. Це зазначається в Правила прийому та реалізується в освітньому процесі. З метою забезпечення прав студентів з особливими потребами університет активно співпрацює з представниками «Інваспорту», під час вступних випробувань призначає осіб, професійна підготовка яких надає право здійснювати спеціальний супровід вступників з інклюзіями (наприклад, наказ від 08.07.2019 № 551-Д про введення до складу приймальної комісії декана медичного факультету, фахівця зі спеціальної освіти, Глущенко І.І.; наказ від 20.07.18 № 589-Д про введення до складу приймальної комісії доцента кафедри соціальної роботи, соціальної педагогіки та соціології, к.п.н., відповідальну за супровід вступників інклюзивного простору Лопатко Л.А.). Зазначені особи здійснюють супровід вступників під час складання іспитів (у разі, якщо абітурієнти на складали ЗНО та скористались правом спеціальних умов вступу). Навчальні корпуси обладнані пандусами, головний 8-ми поверховий корпус має спеціальний підйомник та ліфти, що дозволяють піднімати інвалідні візочки, туалетна кімната має спеціальне приміщення для осіб з порушенням рухового апарату. У корпусах, де ліфти відсутні, для цих категорій студентів проводяться індивідуальні заняття-консультації в приміщенні на 1 поверсі. Серед студентів спеціальності 016 «Спеціальна освіта» здійснюється підготовка сурдоперекладачів, які можуть надати необхідну допомогу.</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у ЗВО визначено політику та процедури врегулювання конфліктних ситуацій (включаючи пов’язаних із сексуальними домаганнями, дискримінацією та корупцією)? Яким чином забезпечується їх доступність політики та процедур врегулювання для учасників освітнього процесу? Якою є практика їх застосування під час реалізації ОП?</w:t>
            </w:r>
          </w:p>
        </w:tc>
        <w:tc>
          <w:tcPr>
            <w:tcW w:w="8788"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Політику та процедури врегулювання конфліктних ситуацій регламентується рядом положень ХДУ: - «Положення про організацію освітнього процесу в Херсонському державному університеті», у якому визначено роботу апеляційної комісії та можливорсті подачі апеляції здобувачем. - Студентська профспілка http://www.kspu.edu/About/DepartmentAndServices/PrimaryStudUnion.aspx, яка забезпечує і захист законних прав та інтересів студентів та надає інформаційну допомогу за питаннями і проблемами студентів; - «Методичні рекомендації із запобігання та протидії корупції» - Положення про академічну доброчесність ХДУ http://www.kspu.edu/Information/Academicintegrity.aspx - на базі профспілки створена комісія по вирішенню трудових спорів (Колективний договір ХДУ 2016-2020, затверджений на Конференції трудового колективу, протокол від 15.06.2016 р.,№1) тощо. З правами та обов’язками студентів знайомлять на кураторських годинах. У ХДУ існує скринька довіри, де студент може анонімно задати питання чи поскржитись на порушення його прав.</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8. Внутрішнє забезпечення якості освітньої програми</w:t>
      </w:r>
    </w:p>
    <w:tbl>
      <w:tblPr>
        <w:tblW w:w="11191" w:type="dxa"/>
        <w:tblCellMar>
          <w:top w:w="15" w:type="dxa"/>
          <w:left w:w="15" w:type="dxa"/>
          <w:bottom w:w="15" w:type="dxa"/>
          <w:right w:w="15" w:type="dxa"/>
        </w:tblCellMar>
        <w:tblLook w:val="04A0" w:firstRow="1" w:lastRow="0" w:firstColumn="1" w:lastColumn="0" w:noHBand="0" w:noVBand="1"/>
      </w:tblPr>
      <w:tblGrid>
        <w:gridCol w:w="2544"/>
        <w:gridCol w:w="8647"/>
      </w:tblGrid>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 документом ЗВО регулюються процедури розроблення, затвердження, моніторингу та періодичного перегляду ОП? Наведіть посилання на цей документ, оприлюднений у відкритому доступі в мережі Інтернет</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hyperlink r:id="rId10" w:tgtFrame="_blank" w:history="1">
              <w:r w:rsidRPr="009E1944">
                <w:rPr>
                  <w:rFonts w:ascii="Times New Roman" w:eastAsia="Times New Roman" w:hAnsi="Times New Roman" w:cs="Times New Roman"/>
                  <w:color w:val="0000FF"/>
                  <w:sz w:val="24"/>
                  <w:szCs w:val="24"/>
                  <w:u w:val="single"/>
                  <w:lang w:eastAsia="ru-RU"/>
                </w:rPr>
                <w:t>http://www.kspu.edu/About/DepartmentAndServices/DMethodics/EduProcess.aspx</w:t>
              </w:r>
            </w:hyperlink>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та з якою періодичністю відбувається перегляд ОП? Які зміни були внесені до ОП за результатами останнього перегляду, чим вони були обґрунтовані?</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Один раз у два роки (або за необхідністю) факультети, кафедри, представники органів студентського самоврядування факультету разом з навчальним та навчально-методичним відділами здійснюють моніторинг освітніх програм. За результатами такого спостереження та аналізу відбувається перегляд та коригування освітніх програм. Критерії, за якими відбувається перегляд освітніх програм, формулюються у результаті зворотного зв’язку (щорічне анкетування) із науково-педагогічними працівниками, студентами, випускниками і роботодавцями, так і внаслідок прогнозування розвитку регіону, галузі та потреб суспільства. Оскільки ОП розроблена у 2017-2019 н.р., у 2018-2019 н.р. був здійснений перший набір здобувачів за ОП, випуску ще не було, тому перегляду ОП на данний момент не було.</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Продемонструйте, із посиланням на конкретні приклади, як здобувачі вищої освіти залучені до процесу періодичного </w:t>
            </w:r>
            <w:r w:rsidRPr="009E1944">
              <w:rPr>
                <w:rFonts w:ascii="Times New Roman" w:eastAsia="Times New Roman" w:hAnsi="Times New Roman" w:cs="Times New Roman"/>
                <w:b/>
                <w:bCs/>
                <w:color w:val="212529"/>
                <w:sz w:val="24"/>
                <w:szCs w:val="24"/>
                <w:lang w:eastAsia="ru-RU"/>
              </w:rPr>
              <w:lastRenderedPageBreak/>
              <w:t>перегляду ОП та інших процедур забезпечення її якості, а їх позиція береться до уваги під час перегляду ОП</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lastRenderedPageBreak/>
              <w:t xml:space="preserve">Згідно Положень про Вчену раду ХДУ, до складу Вченої ради повинен входити голова первинної профспілкової організації студентів університету, голови органів студентського самоврядування університету; виборні представники з числа студентів (не менше 10 %). У ХДУ створений студентський парламент, роботу якого регламентують Положення про студентське самоврядування, діяльність якого спрямована на удосконалення навчального процесу, підвищення його якості. Однм </w:t>
            </w:r>
            <w:r w:rsidRPr="009E1944">
              <w:rPr>
                <w:rFonts w:ascii="Times New Roman" w:eastAsia="Times New Roman" w:hAnsi="Times New Roman" w:cs="Times New Roman"/>
                <w:color w:val="212529"/>
                <w:sz w:val="24"/>
                <w:szCs w:val="24"/>
                <w:lang w:eastAsia="ru-RU"/>
              </w:rPr>
              <w:lastRenderedPageBreak/>
              <w:t>із завдань органів студентського самоврядування є участь в обговоренні та вирішенні питань удосконалення освітньої діяльності, науково-дослідної роботи. Вищим органом студентського самоврядування Університету є загальноуніверситетська конференція студентів, яка скликається не рідше одного разу за навчальний рік. Студенти можуть виносити свої пропозиції щодо перегляду ОП на студентських конференціях</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 чином студентське самоврядування бере участь у процедурах внутрішнього забезпечення якості ОП</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Згідно Положень внутрішньої системи забезпечення якості освіти Херсонського державного університету від 06.12.2017 р. № 831-Д, у процесі періодичного перегляду ОП приймають участь члени студентського самоврядування факультету. Пропозиції здобувачів формулюються у результаті зворотного зв’язку (щорічне анкетування) студентів та випускників. У внутрішній системі управління якістю значне місце відводиться участі студентів у процедурах забезпечення якості освітньої діяльності, що передбачає (положення про внутрішнюсистему забеспечення якості освіти): - анонімне анкетування студентів з питань якості освіти в університеті; - анонімне визначення (ранжування) за допомогою електронної програми «Feedback» педагогічних якостей викладачів, які обираються за конкурсом; - створення на факультетах студентських груп моніторингу, до складу, яких входять старости груп, представники органів студентського самоврядування. Мета створення таких груп: швидкий та об’єктивний зворотній зв’язок «викладач – студент»; надання адміністрації факультетів, відділам інформації та пропозицій за результатами моніторингу з питань освітнього процесу</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із посиланням на конкретні приклади, як роботодавці безпосередньо або через свої об’єднання залучені до процесу періодичного перегляду ОП та інших процедур забезпечення її якості</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Роботодавці залучаються до процесу періодичного перегляду ОП наступним чином: • приймають участь у розширених засіданнях кафедри, на яких обговорюються компетентності та програмні результати навчання; • запрошуються у якості голів комісії з Атестації здобувачів ОП, де оцінюється ступінь набуття компетентностей та програмних результатів навчання; • у процесі обміну досвідом на профорієнтаційних заходах кафедри; • на базі ХДУ створено Наглядову раду ХДУ (положення від 02.07.16р. №428-Д), метою роботи якої є ефективна взаємодія університету з державними органами та органами місцевого самоврядування, науковою та педагогічною громадкістю, суспільно-політичними організаціями та суб’єктами господарської діяльності в інтересах розвитку та підвищення якості освітньої діяльності та конкуренто спроможності ХДУ, сприяння працевлаштуванню випускників ХДУ.</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практику збирання та врахування інформації щодо кар’єрного шляху та траєкторій працевлаштування випускників ОП</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В структурі ХДУ функціонує Сектор сприянню працевлаштуванню студентів та випускників (http://www.kspu.edu/About/DepartmentAndServices/DPractices.aspx?lang=uk), який проводить моніторинг траєкторії працевлаштування, підведення підсумків, аналіз роботи з питань сприяння працевлаштуванню студентів у вільний від навчання час та по закінченню університету, інформування студентів і випускників вищого навчального закладу про вакантні місця на підприємствах, в установах та організаціях, що відповідають їх фаховій підготовці (спеціальності), співпраця з потенційними роботодавцями і забезпечення оперативного заповнення вакансій, налагодження ділових стосунків вищого навчального закладу з службами зайнятості населення, підприємствами, установами та організаціями (роботодавцями) з питань працевлаштування студентів і випускників, створення бази даних про студентів, що звернулися до сектору щодо працевлаштування, проведення роз'яснювальної роботи серед студентів та випускників щодо нормативно-правових актів з питань державного регулювання зайнятості та трудових відносин. Кафедра біології людини та імунології проводить розширені засідання кафедри та профорієнтаційні заходи, на які запрошує випускників.</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Які недоліки в ОП та/або освітній діяльності з реалізації ОП були виявлені у ході здійснення процедур внутрішнього забезпечення якості за час її реалізації? Яким чином система забезпечення якості ЗВО відреагувала на ці недоліки?</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Оскільки це первинна акредитація ОП, то на данний момент не було внесення недоліків</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що результати зовнішнього забезпечення якості вищої освіти беруться до уваги під час удосконалення ОП. Яким чином зауваження та пропозиції з останньої акредитації та акредитацій інших ОП були ураховані під час удосконалення цієї ОП?</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Під час аккредитації ОП Середня освіта (Біологія) у 2018 році експертна комісія висловила рекомендації, що не входять до складу обов’язкових і не впливають на позитивне рішення про акредитацію, але дозволять поліпшити якість підготовки фахівців: підвищити наукову активність викладачів, які беруть участь у підготовці фахівців зі спеціальності 014 Середня освіта (Біологія) рівня вищої освіти «магістр» щодо публікації матеріалів власних досліджень у виданнях, що входять до міжнародних наукометричних баз, зокрема Index Copernicus, Scopus, Web of Science тощо Гасюк О.М. Scopus 1/1, Google Scholar 46/3; Зав’ялов В.П. Scopus 1613/23, Google Scholar 2374/28; Сидорович М.М. Google Scholar 73/5; Запорожець О.П. Google Scholar 16/3; Бесчасний С.П. Scopus 2/1, Google Scholar 21/2; Лановенко О.Г. Google Scholar 15/3; Шкуропат А.В. Scopus 3/0, Google Scholar 12/2; ГоловченкоІ.В. Scopus 2/0, Google Scholar 6/1; Гайдай М.І. Scopus 1/0, Google Scholar 6/1; Спринь О.Б. Google Scholar 3/1. постійно підвищувати науковий рівень періодичних видань, які існують на факультеті згідно світових стандартів і розпочати роботу щодо їхнього включення до міжнародних наукометричних баз; Наукове видавництво Природничий альманах внесений до Україніка наукова, Google Scholar,Index Copernicus, Polska Bibliografia Naukowa, World Cotalogueof Scientific Journals. активізувати участь викладачів і студентів у державних конкурсах наукових проектів та науково-дослідних робіт; Співробітники кафедри прийняли участь у поданні заявки на участь у Міжнародному проекті «Горизонт 2020» із проектом «AnalysisandmodelingofBio-CyberPhysicalsystem». -проводити роботу з підвищення науково-методичного рівня викладачів та студентів шляхом проходження стажування на базі провідних університетів і науково-дослідних інститутів НАН України та зарубіжжя, розширити наукову співпрацю викладачів та студентів із зарубіжними науковими установами. Бесчасний Сергій Павлович, 22.05.18-30.05.18 р, Університет імені А. Міцкевича (м. Познань, Польща), №236-К від 08.05.2018 р. Тема: «Викладання фізіології із залученням сучасних експериментальних моделей». Сертифікат від 30.05.2018 р. Гасюк Олена Миколаївна, 22.05.18-30.05.18 р., Університет імені А. Міцкевича (м. Познань, Польща), №236-К від 08.05.2018 р. Тема: «Знайомство з організацією т’юторингу та Е-лернінгу в умовах кредитно-модульної системи». Сертифікат від 30.05.2018 р.</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учасники академічної спільноти змістовно залучені до процедур внутрішнього забезпечення якості ОП?</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Один раз у два роки (або за необхідністю) факультети, випускові кафедри, представники органів студентського самоврядування факультету разом з навчальним та навчально-методичним відділами здійснюють моніторинг освітніх програм. За результатами такого спостереження та аналізу відбувається перегляд та коригування освітніх програм. Критерії, за якими відбувається перегляд освітніх програм, формулюються як у результаті зворотного зв’язку із представниками академічної спільноти. До процедур внутрішнього забезпечення якості ОП залучені науково-педагогічні працівники, які проходять стажування на кафедрі біологія </w:t>
            </w:r>
            <w:r w:rsidRPr="009E1944">
              <w:rPr>
                <w:rFonts w:ascii="Times New Roman" w:eastAsia="Times New Roman" w:hAnsi="Times New Roman" w:cs="Times New Roman"/>
                <w:color w:val="212529"/>
                <w:sz w:val="24"/>
                <w:szCs w:val="24"/>
                <w:lang w:eastAsia="ru-RU"/>
              </w:rPr>
              <w:lastRenderedPageBreak/>
              <w:t>людини та імунології: - Цуруль О.А., доцент кафедри психолого-педагогічних дисциплін Національного педагогічного університету імені М.П. Драгоманова (стажування у період 22.10 – 23.11.2018р.); - Цехместрук О.О., викладача нормальної анатомії та фізіології людини Херсонського базового медичного коледжу Херсонської обласної ради (стажування з 19 листопада по 28 грудня 2018 р.); - Мадера С.Б., спеціаліста вищої категорії, учителя хімії та біології Херсонського академічного ліцею імені О.В. Мішукова Херсонської міської ради при Херсонському державному університеті (з 21 жовтня по 21 листопада 2019 р.).</w:t>
            </w:r>
          </w:p>
        </w:tc>
      </w:tr>
      <w:tr w:rsidR="009E1944" w:rsidRPr="009E1944" w:rsidTr="002C7691">
        <w:tc>
          <w:tcPr>
            <w:tcW w:w="2544"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Опишіть розподіл відповідальності між різними структурними підрозділами ЗВО у контексті здійснення процесів і процедур внутрішнього забезпечення якості освіти</w:t>
            </w:r>
          </w:p>
        </w:tc>
        <w:tc>
          <w:tcPr>
            <w:tcW w:w="8647"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Вченою радою ХДУ (протокол від 30.06.2016 №10) затверджені процедури внутрішнього забезпечення якості вищої освіти та їх реалізація. Рішенням Вченої ради ХДУ (протокол №4 від 28.10.19 р.) на базі навчально-методичного відділу створений підрозділ Відділ забезпечення якості освіти. Організація внутрішнього забезпечення якості вищої освіти в Університеті здійснюється на таких рівнях: перший – здобувачі вищої освіти; другий - кафедра (керівники (гаранти) освітніх програм, викладачі, куратори академічних груп); третій - факультети (декани, заступники та помічники деканів, науково-методичні комісії та вчені ради факультетів); четвертий рівень - ректорат, навчальний та навчально-методичний відділ, науково-методична рада ХДУ та Вчена рада Університету</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9. Прозорість і публічність</w:t>
      </w:r>
    </w:p>
    <w:tbl>
      <w:tblPr>
        <w:tblW w:w="10773" w:type="dxa"/>
        <w:tblLayout w:type="fixed"/>
        <w:tblCellMar>
          <w:top w:w="15" w:type="dxa"/>
          <w:left w:w="15" w:type="dxa"/>
          <w:bottom w:w="15" w:type="dxa"/>
          <w:right w:w="15" w:type="dxa"/>
        </w:tblCellMar>
        <w:tblLook w:val="04A0" w:firstRow="1" w:lastRow="0" w:firstColumn="1" w:lastColumn="0" w:noHBand="0" w:noVBand="1"/>
      </w:tblPr>
      <w:tblGrid>
        <w:gridCol w:w="2927"/>
        <w:gridCol w:w="7846"/>
      </w:tblGrid>
      <w:tr w:rsidR="009E1944" w:rsidRPr="009E1944" w:rsidTr="002C7691">
        <w:tc>
          <w:tcPr>
            <w:tcW w:w="211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Якими документами ЗВО регулюється права та обов’язки усіх учасників освітнього процесу? Яким чином забезпечується їх доступність для учасників освітнього процесу?</w:t>
            </w:r>
          </w:p>
        </w:tc>
        <w:tc>
          <w:tcPr>
            <w:tcW w:w="56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Права та обов’язки всіх учасників освітнього процесу ХДУ забезпечуються Статутом ХДУ, Стратегічним планом ровитку ХДУ, Правилами внутрішнього розпорядку ХДУ, Колективним договором ХДУ; Положення про організацію освітнього процесу в ХДУ (Наказ від 25.02.15р. №103-Д); Положення про Комісію ХДУ з визнання документів про освіту, виданих навчальними закладами інших держав (Наказ від 29.10.15р № 628-Д); Порядок визнання в ХДУ документів про освіту, виданих навчальними закладами інших держав (Наказ від 29.10.15 р. № 628-Д); Положення про організацію самостійної роботи студентів у ХДУ (Наказ від 02.07.16 р. №428-Д); Положення про навчально-методичний комплекс дисциплін кафедри ХДУ (Наказ від 01.11.2019 р. № 889-Д); Положення яким визначено порядок та умови обрання студентами дисциплін за вибором у ХДУ (Наказ від 02.07.16 р. №428-Д); Положення про порядок призначення іменних стипендій студентам ХДУ (2010 рік, вчена рада ХДУ); Положення про академічну мобільність студентів ХДУ (Наказ від 29.10.15 р. № 628-Д); Положення про порядок створення та організацію роботи екзаменаційної комісії з атестації здобувачів вищої освіти в ХДУ (Наказ від 29.03.16 р. № 218-Д); Положення про порядок оцінювання знань студентів при кредитно-трансферній системі організації освітнього процесу в ХДУ (Наказ від 29.03.16 р. № 218-Д); Положення про кваліфікаційну роботу (Наказ від 01.11.19р. №880-Д). Положення за посиланням: http://www.kspu.edu/About/DepartmentAndServices/DAcademicServ.aspx</w:t>
            </w:r>
          </w:p>
        </w:tc>
      </w:tr>
      <w:tr w:rsidR="009E1944" w:rsidRPr="009E1944" w:rsidTr="002C7691">
        <w:tc>
          <w:tcPr>
            <w:tcW w:w="211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Наведіть посилання на веб-сторінку, яка містить інформацію про оприлюднення на офіційному веб-сайті ЗВО відповідного проекту з метою отримання зауважень та пропозиції заінтересованих сторін </w:t>
            </w:r>
            <w:r w:rsidRPr="009E1944">
              <w:rPr>
                <w:rFonts w:ascii="Times New Roman" w:eastAsia="Times New Roman" w:hAnsi="Times New Roman" w:cs="Times New Roman"/>
                <w:b/>
                <w:bCs/>
                <w:color w:val="212529"/>
                <w:sz w:val="24"/>
                <w:szCs w:val="24"/>
                <w:lang w:eastAsia="ru-RU"/>
              </w:rPr>
              <w:lastRenderedPageBreak/>
              <w:t>(стейкхолдерів). Адреса веб-сторінки</w:t>
            </w:r>
          </w:p>
        </w:tc>
        <w:tc>
          <w:tcPr>
            <w:tcW w:w="56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hyperlink r:id="rId11" w:tgtFrame="_blank" w:history="1">
              <w:r w:rsidRPr="009E1944">
                <w:rPr>
                  <w:rFonts w:ascii="Times New Roman" w:eastAsia="Times New Roman" w:hAnsi="Times New Roman" w:cs="Times New Roman"/>
                  <w:color w:val="0000FF"/>
                  <w:sz w:val="24"/>
                  <w:szCs w:val="24"/>
                  <w:u w:val="single"/>
                  <w:lang w:eastAsia="ru-RU"/>
                </w:rPr>
                <w:t>http://www.kspu.edu/About/Faculty/Faculty_of_biolog_geograf_ecol/DepartmentofHumanBiologyandImmunology.aspx</w:t>
              </w:r>
            </w:hyperlink>
          </w:p>
        </w:tc>
      </w:tr>
      <w:tr w:rsidR="009E1944" w:rsidRPr="009E1944" w:rsidTr="002C7691">
        <w:tc>
          <w:tcPr>
            <w:tcW w:w="2115"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Наведіть посилання на оприлюднену у відкритому доступі в мережі Інтернет інформацію про освітню програму (включаючи її цілі, очікувані результати навчання та компоненти)</w:t>
            </w:r>
          </w:p>
        </w:tc>
        <w:tc>
          <w:tcPr>
            <w:tcW w:w="567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2C7691">
            <w:pPr>
              <w:spacing w:after="0" w:line="240" w:lineRule="auto"/>
              <w:jc w:val="both"/>
              <w:rPr>
                <w:rFonts w:ascii="Times New Roman" w:eastAsia="Times New Roman" w:hAnsi="Times New Roman" w:cs="Times New Roman"/>
                <w:color w:val="212529"/>
                <w:sz w:val="24"/>
                <w:szCs w:val="24"/>
                <w:lang w:eastAsia="ru-RU"/>
              </w:rPr>
            </w:pPr>
            <w:hyperlink r:id="rId12" w:tgtFrame="_blank" w:history="1">
              <w:r w:rsidRPr="009E1944">
                <w:rPr>
                  <w:rFonts w:ascii="Times New Roman" w:eastAsia="Times New Roman" w:hAnsi="Times New Roman" w:cs="Times New Roman"/>
                  <w:color w:val="0000FF"/>
                  <w:sz w:val="24"/>
                  <w:szCs w:val="24"/>
                  <w:u w:val="single"/>
                  <w:lang w:eastAsia="ru-RU"/>
                </w:rPr>
                <w:t>http://www.kspu.edu/About/Faculty/Faculty_of_biolog_geograf_ecol/DepartmentofHumanBiologyandImmunology/Educational_and_professional_programs.aspx</w:t>
              </w:r>
            </w:hyperlink>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10. Навчання через дослідження</w:t>
      </w:r>
    </w:p>
    <w:tbl>
      <w:tblPr>
        <w:tblW w:w="16020" w:type="dxa"/>
        <w:tblCellMar>
          <w:top w:w="15" w:type="dxa"/>
          <w:left w:w="15" w:type="dxa"/>
          <w:bottom w:w="15" w:type="dxa"/>
          <w:right w:w="15" w:type="dxa"/>
        </w:tblCellMar>
        <w:tblLook w:val="04A0" w:firstRow="1" w:lastRow="0" w:firstColumn="1" w:lastColumn="0" w:noHBand="0" w:noVBand="1"/>
      </w:tblPr>
      <w:tblGrid>
        <w:gridCol w:w="6390"/>
        <w:gridCol w:w="9630"/>
      </w:tblGrid>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що зміст освітньо-наукової програми відповідає науковим інтересам аспірантів (ад’юнктів)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зміст освітньо-наукової програми забезпечує повноцінну підготовку здобувачів вищої освіти до дослідницької діяльності за спеціальністю та/або галуззю</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яким чином зміст освітньо-наукової програми забезпечує повноцінну підготовку здобувачів вищої освіти до викладацької діяльності у закладах вищої освіти за спеціальністю та/або галуззю</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дотичність тем наукових досліджень аспірантів (ад’юнктів) напрямам досліджень наукових керівників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з посиланням на конкретні приклади, як ЗВО організаційно та матеріально забезпечує в межах освітньо-наукової програми можливості для проведення і апробації результатів наукових досліджень аспірантів (ад’юнктів)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Проаналізуйте, як ЗВО забезпечує можливості для долучення аспірантів (ад’юнктів) до міжнародної академічної спільноти за спеціальністю, наведіть конкретні проекти та заходи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участь наукових керівників аспірантів у дослідницьких проектах, результати яких регулярно публікуються та/або практично впроваджуються</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Опишіть чинні практики дотримання академічної доброчесності у науковій діяльності наукових керівників та аспірантів (ад’юнктів)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Продемонструйте, що ЗВО вживає заходів для виключення можливості здійснення наукового керівництва особами, які вчинили порушення академічної доброчесності</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11. Перспективи подальшого розвитку ОП</w:t>
      </w:r>
    </w:p>
    <w:tbl>
      <w:tblPr>
        <w:tblW w:w="10773" w:type="dxa"/>
        <w:tblLayout w:type="fixed"/>
        <w:tblCellMar>
          <w:top w:w="15" w:type="dxa"/>
          <w:left w:w="15" w:type="dxa"/>
          <w:bottom w:w="15" w:type="dxa"/>
          <w:right w:w="15" w:type="dxa"/>
        </w:tblCellMar>
        <w:tblLook w:val="04A0" w:firstRow="1" w:lastRow="0" w:firstColumn="1" w:lastColumn="0" w:noHBand="0" w:noVBand="1"/>
      </w:tblPr>
      <w:tblGrid>
        <w:gridCol w:w="4300"/>
        <w:gridCol w:w="6473"/>
      </w:tblGrid>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Якими загалом є сильні та слабкі сторони ОП?</w:t>
            </w:r>
          </w:p>
        </w:tc>
        <w:tc>
          <w:tcPr>
            <w:tcW w:w="96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 xml:space="preserve">Слабкі сторони ОП: Недостатній внесок роботодавців у розробку ОП. Сильні сторони ПО: • у цілі ОП врахований регіональний контекст; • здобувачі ОП отримують широку кваліфікацію (вчитель біології, вчитель основ здоров’я); • ОП має вагомий дослідницький компонент (мисленнєвих </w:t>
            </w:r>
            <w:r w:rsidRPr="009E1944">
              <w:rPr>
                <w:rFonts w:ascii="Times New Roman" w:eastAsia="Times New Roman" w:hAnsi="Times New Roman" w:cs="Times New Roman"/>
                <w:color w:val="212529"/>
                <w:sz w:val="24"/>
                <w:szCs w:val="24"/>
                <w:lang w:eastAsia="ru-RU"/>
              </w:rPr>
              <w:lastRenderedPageBreak/>
              <w:t xml:space="preserve">експериментів на лекційних заняттях, проведення навчальних, дослідницьких робіт під час лабораторних </w:t>
            </w:r>
            <w:proofErr w:type="gramStart"/>
            <w:r w:rsidRPr="009E1944">
              <w:rPr>
                <w:rFonts w:ascii="Times New Roman" w:eastAsia="Times New Roman" w:hAnsi="Times New Roman" w:cs="Times New Roman"/>
                <w:color w:val="212529"/>
                <w:sz w:val="24"/>
                <w:szCs w:val="24"/>
                <w:lang w:eastAsia="ru-RU"/>
              </w:rPr>
              <w:t>занять ,</w:t>
            </w:r>
            <w:proofErr w:type="gramEnd"/>
            <w:r w:rsidRPr="009E1944">
              <w:rPr>
                <w:rFonts w:ascii="Times New Roman" w:eastAsia="Times New Roman" w:hAnsi="Times New Roman" w:cs="Times New Roman"/>
                <w:color w:val="212529"/>
                <w:sz w:val="24"/>
                <w:szCs w:val="24"/>
                <w:lang w:eastAsia="ru-RU"/>
              </w:rPr>
              <w:t xml:space="preserve"> проектування індивідуальної освітньої траєкторії у поза аудиторний час тощо). • ефективтивна реалізація ОП завдяки існування потужної матеріально-технічної бази, яка складається з сучасного навчально-дослідного навчання; • у реалізації ОП використовується потужна інформаційна підтримка засобами комп’ютерної технології, засоби мобільного навчання, хмарне навчання, авторські сайти тощо. (</w:t>
            </w:r>
            <w:proofErr w:type="gramStart"/>
            <w:r w:rsidRPr="009E1944">
              <w:rPr>
                <w:rFonts w:ascii="Times New Roman" w:eastAsia="Times New Roman" w:hAnsi="Times New Roman" w:cs="Times New Roman"/>
                <w:color w:val="212529"/>
                <w:sz w:val="24"/>
                <w:szCs w:val="24"/>
                <w:lang w:eastAsia="ru-RU"/>
              </w:rPr>
              <w:t>розпорядження</w:t>
            </w:r>
            <w:proofErr w:type="gramEnd"/>
            <w:r w:rsidRPr="009E1944">
              <w:rPr>
                <w:rFonts w:ascii="Times New Roman" w:eastAsia="Times New Roman" w:hAnsi="Times New Roman" w:cs="Times New Roman"/>
                <w:color w:val="212529"/>
                <w:sz w:val="24"/>
                <w:szCs w:val="24"/>
                <w:lang w:eastAsia="ru-RU"/>
              </w:rPr>
              <w:t xml:space="preserve"> ХДУ №№ 35 від 23.09.2019р., 38 від 26.09.2019 р., 64 від 11.12.2018р., 69 від 28.01.2019 р., 125а від 27.03.2019 р., 120а від 25.02.2019 р., 123а від 26.03.2019 р., 90а від 28.02.2019 р., 130а від 29.03.2019 р., 141 від 03.04.2019 р.)</w:t>
            </w: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Якими є перспективи розвитку ОП упродовж найближчих 3 років? Які конкретні заходи ЗВО планує здійснити задля реалізації цих перспектив?</w:t>
            </w:r>
          </w:p>
        </w:tc>
        <w:tc>
          <w:tcPr>
            <w:tcW w:w="96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До перспектив розвитку ОП найближчим 3 років: - розширення кола стейкхолдерів, поліпшення зв’язків з роботодавцями, активніше залучати здобувачів до перегляду ОП; - розширення договірної бази практик зі школами та та запровадження на цій основі дуальної освіти; - покращення прикладних аспектів ОП (зближення ЗВО та ланки середньої освіти); - підвищення рівня фахового видання Природничий альманах (перехід до категорії В). Розміщення Природничого альманаха у закордонних наукометричних базах даних; - підготувати здобувача третього рівня вищої освіти зі спеціальності 13.00.04 – Професійна освіта з метою підвищення якості викладання психолого-педагогічних дисциплін за ОП.</w:t>
            </w: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Таблиця 1. Інформація про обов’язкові освітні компоненти ОП</w:t>
      </w:r>
    </w:p>
    <w:tbl>
      <w:tblPr>
        <w:tblW w:w="16020" w:type="dxa"/>
        <w:tblCellMar>
          <w:top w:w="15" w:type="dxa"/>
          <w:left w:w="15" w:type="dxa"/>
          <w:bottom w:w="15" w:type="dxa"/>
          <w:right w:w="15" w:type="dxa"/>
        </w:tblCellMar>
        <w:tblLook w:val="04A0" w:firstRow="1" w:lastRow="0" w:firstColumn="1" w:lastColumn="0" w:noHBand="0" w:noVBand="1"/>
      </w:tblPr>
      <w:tblGrid>
        <w:gridCol w:w="16020"/>
      </w:tblGrid>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tbl>
            <w:tblPr>
              <w:tblW w:w="10773" w:type="dxa"/>
              <w:tblCellMar>
                <w:top w:w="15" w:type="dxa"/>
                <w:left w:w="15" w:type="dxa"/>
                <w:bottom w:w="15" w:type="dxa"/>
                <w:right w:w="15" w:type="dxa"/>
              </w:tblCellMar>
              <w:tblLook w:val="04A0" w:firstRow="1" w:lastRow="0" w:firstColumn="1" w:lastColumn="0" w:noHBand="0" w:noVBand="1"/>
            </w:tblPr>
            <w:tblGrid>
              <w:gridCol w:w="2984"/>
              <w:gridCol w:w="1905"/>
              <w:gridCol w:w="2985"/>
              <w:gridCol w:w="2899"/>
            </w:tblGrid>
            <w:tr w:rsidR="009E1944" w:rsidRPr="009E1944" w:rsidTr="002C7691">
              <w:trPr>
                <w:tblHeader/>
              </w:trPr>
              <w:tc>
                <w:tcPr>
                  <w:tcW w:w="0" w:type="dxa"/>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Назва освітнього компонента</w:t>
                  </w:r>
                </w:p>
              </w:tc>
              <w:tc>
                <w:tcPr>
                  <w:tcW w:w="0" w:type="dxa"/>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Вид компонента</w:t>
                  </w:r>
                </w:p>
              </w:tc>
              <w:tc>
                <w:tcPr>
                  <w:tcW w:w="0" w:type="dxa"/>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Файли</w:t>
                  </w:r>
                </w:p>
              </w:tc>
              <w:tc>
                <w:tcPr>
                  <w:tcW w:w="0" w:type="dxa"/>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Відомості щодо МТЗ*</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Основи наукової комунікації іноземними мовами</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3" w:tgtFrame="_blank" w:history="1">
                    <w:r w:rsidRPr="009E1944">
                      <w:rPr>
                        <w:rFonts w:ascii="Times New Roman" w:eastAsia="Times New Roman" w:hAnsi="Times New Roman" w:cs="Times New Roman"/>
                        <w:color w:val="0000FF"/>
                        <w:sz w:val="24"/>
                        <w:szCs w:val="24"/>
                        <w:u w:val="single"/>
                        <w:lang w:eastAsia="ru-RU"/>
                      </w:rPr>
                      <w:t>Основи наукової комуникації англійською мовою.pdf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 Комп’ютер Celeron (1 шт.); Магнітофон DVD Pioneer (1 шт.)</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Філософія та методологія науки</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4" w:tgtFrame="_blank" w:history="1">
                    <w:r w:rsidRPr="009E1944">
                      <w:rPr>
                        <w:rFonts w:ascii="Times New Roman" w:eastAsia="Times New Roman" w:hAnsi="Times New Roman" w:cs="Times New Roman"/>
                        <w:color w:val="0000FF"/>
                        <w:sz w:val="24"/>
                        <w:szCs w:val="24"/>
                        <w:u w:val="single"/>
                        <w:lang w:eastAsia="ru-RU"/>
                      </w:rPr>
                      <w:t>Філософія та методологія.pdf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 Комп’ютер Celeron (1 шт.); Магнітофон DVD Pioneer (1 шт.)</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Макроеволюція органічного світу</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5" w:tgtFrame="_blank" w:history="1">
                    <w:r w:rsidRPr="009E1944">
                      <w:rPr>
                        <w:rFonts w:ascii="Times New Roman" w:eastAsia="Times New Roman" w:hAnsi="Times New Roman" w:cs="Times New Roman"/>
                        <w:color w:val="0000FF"/>
                        <w:sz w:val="24"/>
                        <w:szCs w:val="24"/>
                        <w:u w:val="single"/>
                        <w:lang w:eastAsia="ru-RU"/>
                      </w:rPr>
                      <w:t>Макроеволюція органічного світу.pdf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xml:space="preserve">Проектор Epson EB-S41 (4 шт), виробник Китай, 2018: Екран Logan PRMC3 </w:t>
                  </w:r>
                  <w:r w:rsidRPr="009E1944">
                    <w:rPr>
                      <w:rFonts w:ascii="Times New Roman" w:eastAsia="Times New Roman" w:hAnsi="Times New Roman" w:cs="Times New Roman"/>
                      <w:sz w:val="24"/>
                      <w:szCs w:val="24"/>
                      <w:lang w:eastAsia="ru-RU"/>
                    </w:rPr>
                    <w:lastRenderedPageBreak/>
                    <w:t>настінний (4 шт), виробник Китай, 2018</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Методика навчання основ здоров'я</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6" w:tgtFrame="_blank" w:history="1">
                    <w:r w:rsidRPr="009E1944">
                      <w:rPr>
                        <w:rFonts w:ascii="Times New Roman" w:eastAsia="Times New Roman" w:hAnsi="Times New Roman" w:cs="Times New Roman"/>
                        <w:color w:val="0000FF"/>
                        <w:sz w:val="24"/>
                        <w:szCs w:val="24"/>
                        <w:u w:val="single"/>
                        <w:lang w:eastAsia="ru-RU"/>
                      </w:rPr>
                      <w:t>Методика навчання основ здоровя.pdf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NEC NP – V 260; (1 шт), виробник Китай, 2012; Проектор BENQ M 5502 (1 шт)</w:t>
                  </w:r>
                  <w:proofErr w:type="gramStart"/>
                  <w:r w:rsidRPr="009E1944">
                    <w:rPr>
                      <w:rFonts w:ascii="Times New Roman" w:eastAsia="Times New Roman" w:hAnsi="Times New Roman" w:cs="Times New Roman"/>
                      <w:sz w:val="24"/>
                      <w:szCs w:val="24"/>
                      <w:lang w:eastAsia="ru-RU"/>
                    </w:rPr>
                    <w:t>. виробник</w:t>
                  </w:r>
                  <w:proofErr w:type="gramEnd"/>
                  <w:r w:rsidRPr="009E1944">
                    <w:rPr>
                      <w:rFonts w:ascii="Times New Roman" w:eastAsia="Times New Roman" w:hAnsi="Times New Roman" w:cs="Times New Roman"/>
                      <w:sz w:val="24"/>
                      <w:szCs w:val="24"/>
                      <w:lang w:eastAsia="ru-RU"/>
                    </w:rPr>
                    <w:t xml:space="preserve"> Китай, 2013; Екран Logan PRMC3 настінний (1 шт), виробник Китай, 2018</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Експериментальна фізіологія організму людини і тварин</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7" w:tgtFrame="_blank" w:history="1">
                    <w:r w:rsidRPr="009E1944">
                      <w:rPr>
                        <w:rFonts w:ascii="Times New Roman" w:eastAsia="Times New Roman" w:hAnsi="Times New Roman" w:cs="Times New Roman"/>
                        <w:color w:val="0000FF"/>
                        <w:sz w:val="24"/>
                        <w:szCs w:val="24"/>
                        <w:u w:val="single"/>
                        <w:lang w:eastAsia="ru-RU"/>
                      </w:rPr>
                      <w:t>Експериментальна фізіологія організму людини і тварин_РП (1).pdf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Комплекс комп’ютерний вимірювальний «ІТМ лабораторія» (мілідинанометр 300мН -1шт; мілівольтметр 500мВ -1шт; мілівольтметр 25мВ -1шт; вольтметр 2,5В -1шт; лічильник крапель - 1шт, виробник НВЛ ІТМ, Україна, м. Харків, 2017; Спектрофотометр ULAB 102UV, виробник ElectronicInс., КНР, 2016; Імуноферментний аналізатор HTI ImmunoChem - 2100, виробник НТІ, США, 2017.</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Педагогіка і психологія вищої школи</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8" w:tgtFrame="_blank" w:history="1">
                    <w:r w:rsidRPr="009E1944">
                      <w:rPr>
                        <w:rFonts w:ascii="Times New Roman" w:eastAsia="Times New Roman" w:hAnsi="Times New Roman" w:cs="Times New Roman"/>
                        <w:color w:val="0000FF"/>
                        <w:sz w:val="24"/>
                        <w:szCs w:val="24"/>
                        <w:u w:val="single"/>
                        <w:lang w:eastAsia="ru-RU"/>
                      </w:rPr>
                      <w:t>Педагогіка та психологія ВШ.pdf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Методика викладання фахових біологічних дисциплін у закладі вищої освіти</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дисципліна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19" w:tgtFrame="_blank" w:history="1">
                    <w:r w:rsidRPr="009E1944">
                      <w:rPr>
                        <w:rFonts w:ascii="Times New Roman" w:eastAsia="Times New Roman" w:hAnsi="Times New Roman" w:cs="Times New Roman"/>
                        <w:color w:val="0000FF"/>
                        <w:sz w:val="24"/>
                        <w:szCs w:val="24"/>
                        <w:u w:val="single"/>
                        <w:lang w:eastAsia="ru-RU"/>
                      </w:rPr>
                      <w:t>Методика викладання фахових біологічних дисциплін_РП.pdf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Виробнича практика</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практика</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20" w:tgtFrame="_blank" w:history="1">
                    <w:r w:rsidRPr="009E1944">
                      <w:rPr>
                        <w:rFonts w:ascii="Times New Roman" w:eastAsia="Times New Roman" w:hAnsi="Times New Roman" w:cs="Times New Roman"/>
                        <w:color w:val="0000FF"/>
                        <w:sz w:val="24"/>
                        <w:szCs w:val="24"/>
                        <w:u w:val="single"/>
                        <w:lang w:eastAsia="ru-RU"/>
                      </w:rPr>
                      <w:t>Виробнича асистентська біологія д.pdf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w:t>
                  </w:r>
                </w:p>
              </w:tc>
            </w:tr>
            <w:tr w:rsidR="009E1944" w:rsidRPr="009E1944" w:rsidTr="002C7691">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Виконання дипломної роботи (у т.ч. переддипломна практика) та атестація здобувачів вищої освіти</w:t>
                  </w:r>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атестація</w:t>
                  </w:r>
                  <w:proofErr w:type="gramEnd"/>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hyperlink r:id="rId21" w:tgtFrame="_blank" w:history="1">
                    <w:r w:rsidRPr="009E1944">
                      <w:rPr>
                        <w:rFonts w:ascii="Times New Roman" w:eastAsia="Times New Roman" w:hAnsi="Times New Roman" w:cs="Times New Roman"/>
                        <w:color w:val="0000FF"/>
                        <w:sz w:val="24"/>
                        <w:szCs w:val="24"/>
                        <w:u w:val="single"/>
                        <w:lang w:eastAsia="ru-RU"/>
                      </w:rPr>
                      <w:t>Підсумкова аттестація 014.05 СО Біологія та здоровя людини.pdf</w:t>
                    </w:r>
                  </w:hyperlink>
                </w:p>
              </w:tc>
              <w:tc>
                <w:tcPr>
                  <w:tcW w:w="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Таблиця 2. Зведена інформація про викладачів</w:t>
      </w:r>
    </w:p>
    <w:tbl>
      <w:tblPr>
        <w:tblW w:w="11057" w:type="dxa"/>
        <w:tblCellMar>
          <w:top w:w="15" w:type="dxa"/>
          <w:left w:w="15" w:type="dxa"/>
          <w:bottom w:w="15" w:type="dxa"/>
          <w:right w:w="15" w:type="dxa"/>
        </w:tblCellMar>
        <w:tblLook w:val="04A0" w:firstRow="1" w:lastRow="0" w:firstColumn="1" w:lastColumn="0" w:noHBand="0" w:noVBand="1"/>
      </w:tblPr>
      <w:tblGrid>
        <w:gridCol w:w="11057"/>
      </w:tblGrid>
      <w:tr w:rsidR="009E1944" w:rsidRPr="009E1944" w:rsidTr="002C7691">
        <w:tc>
          <w:tcPr>
            <w:tcW w:w="0" w:type="auto"/>
            <w:tcBorders>
              <w:top w:val="single" w:sz="6" w:space="0" w:color="DEE2E6"/>
              <w:left w:val="single" w:sz="6" w:space="0" w:color="DEE2E6"/>
              <w:bottom w:val="single" w:sz="6" w:space="0" w:color="DEE2E6"/>
              <w:right w:val="single" w:sz="6" w:space="0" w:color="DEE2E6"/>
            </w:tcBorders>
            <w:hideMark/>
          </w:tcPr>
          <w:tbl>
            <w:tblPr>
              <w:tblW w:w="0" w:type="auto"/>
              <w:tblCellMar>
                <w:top w:w="15" w:type="dxa"/>
                <w:left w:w="15" w:type="dxa"/>
                <w:bottom w:w="15" w:type="dxa"/>
                <w:right w:w="15" w:type="dxa"/>
              </w:tblCellMar>
              <w:tblLook w:val="04A0" w:firstRow="1" w:lastRow="0" w:firstColumn="1" w:lastColumn="0" w:noHBand="0" w:noVBand="1"/>
            </w:tblPr>
            <w:tblGrid>
              <w:gridCol w:w="1560"/>
              <w:gridCol w:w="1409"/>
              <w:gridCol w:w="1681"/>
              <w:gridCol w:w="3056"/>
              <w:gridCol w:w="3305"/>
            </w:tblGrid>
            <w:tr w:rsidR="009E1944" w:rsidRP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ПІБ викладача</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Посада викладача</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Чи входить у групу забезпечення відповідної спеціальності?</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Навчальні дисципліни, що їх викладає викладач на ОП</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Обґрунтування</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Карташова Ірина Іванівна</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Доцент, який має вчене звання доцента, науковий ступінь кандидата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Методика викладання фахових біологічних дисциплін у закладі вищої освіти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Кандидат педагогічних наук 13.00.01 – теорія та історія педагогіки (ДК №004360 від 13.10.1999 р.) Доцент кафедри зоології (№005343 від 20.06.2002 р.) «Організаційно-педагогічні засади навчання слухачів факультету довузівської підготовки (на матеріалі природничого циклу)»</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Слюсаренко Ніна Віталіївна</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Професор, який має вчене звання професора, науковий ступінь доктора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Педагогіка і психологія вищої школи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Кандидат педагогічних наук, 13.00.02 – теорія та методика трудового навчання, № диплома ДК № 012389 2001 р. Тема дисертації: «Розвиток творчих здібностей учнів 5-9 класів на уроках обслуговуючої праці засобами ігрової діяльності» доцент кафедри педагогіки і психології» № атестата ДЦ №007676 2003р. Доктор педагогічних наук 13.00.02 – теорія та методика трудового навчання, ДД № 008601, 6.10.2010 р. Тема дисертації «Теорія і практика трудової підготовки дівчат у школах України (кінець ХІХ – ХХ століття). професор кафедри педагогіки і психології. Атестат 12 ПР№007906 від 17.05.12.р.</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Головченко Ігор Валентинович</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Доцент, який не має вченого звання доцента, кандидат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xml:space="preserve">Методика навчання основ </w:t>
                  </w:r>
                  <w:proofErr w:type="gramStart"/>
                  <w:r w:rsidRPr="009E1944">
                    <w:rPr>
                      <w:rFonts w:ascii="Times New Roman" w:eastAsia="Times New Roman" w:hAnsi="Times New Roman" w:cs="Times New Roman"/>
                      <w:sz w:val="24"/>
                      <w:szCs w:val="24"/>
                      <w:lang w:eastAsia="ru-RU"/>
                    </w:rPr>
                    <w:t>здоров'я,Експериментальна</w:t>
                  </w:r>
                  <w:proofErr w:type="gramEnd"/>
                  <w:r w:rsidRPr="009E1944">
                    <w:rPr>
                      <w:rFonts w:ascii="Times New Roman" w:eastAsia="Times New Roman" w:hAnsi="Times New Roman" w:cs="Times New Roman"/>
                      <w:sz w:val="24"/>
                      <w:szCs w:val="24"/>
                      <w:lang w:eastAsia="ru-RU"/>
                    </w:rPr>
                    <w:t xml:space="preserve"> фізіологія організму людини і тварин</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Кандидат біологічних наук за спеціальністю 03.00.13 – фізіологія людини і тварин; Диплом ДК №014526 від 31.05.2013 р Херсонський державний університет Дисертація: «Електрофізіологічні та гемодинамічні особливості головного мозку дітей 8-12 років з порушенням рухової активності центрального походження», 2013 р.</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Ходосовцев Олександр Євгенович</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Професор, який має вчене звання професора, науковий ступінь доктора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Макроеволюція органічного світу</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Доктор біологічних наук 03.00.05 - ботаніка 03.00.21 – мікологія (ДД №003962 від 10.11.2004 р.) Професор кафедри ботаніки (02ПР №004178 від 16.02.2006 р.) “Лишайники кам’янистих відслонень Кримського півострова”</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Воробйова Алла Вікторівна</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Доцент, яка не має вченого звання доцента, кандидат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Основи наукової комунікації іноземними мовами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Кандидат педагогічних наук, доцент кафедри практики іноземних мов Херсонський державний університет, 2013 р., 13.00.02 – теорія та методика навчання (російська мова): «Формування риторичних умінь учнів основної школи на уроках російської мови у школах з російської мовою навчання» ДК № 016231.</w:t>
                  </w:r>
                </w:p>
              </w:tc>
            </w:tr>
            <w:tr w:rsidR="009E1944" w:rsidRP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Поліщук Ірина Євгенівна</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Завідувач кафедри, який має вчене звання доцента, науковий ступінь кандидата наук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Так</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Філософія та методологія науки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Кандидат філософських наук. Діалектичний та історичний матеріалізм 09.00.01. ФС № 010468, 30.05.1990 рік Харківський державний університет Тема дисертації: Естетичне в способі життя. Доцент, ДЦ № 003672, 13.01.1993 рік, кафедра Історії Вітчизни та філософії Херсонський сільськогосподарський інститут.</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Таблиця 3. Матриця відповідності</w:t>
      </w:r>
    </w:p>
    <w:tbl>
      <w:tblPr>
        <w:tblW w:w="10773" w:type="dxa"/>
        <w:tblCellMar>
          <w:top w:w="15" w:type="dxa"/>
          <w:left w:w="15" w:type="dxa"/>
          <w:bottom w:w="15" w:type="dxa"/>
          <w:right w:w="15" w:type="dxa"/>
        </w:tblCellMar>
        <w:tblLook w:val="04A0" w:firstRow="1" w:lastRow="0" w:firstColumn="1" w:lastColumn="0" w:noHBand="0" w:noVBand="1"/>
      </w:tblPr>
      <w:tblGrid>
        <w:gridCol w:w="10773"/>
      </w:tblGrid>
      <w:tr w:rsidR="009E1944" w:rsidRPr="009E1944" w:rsidTr="002C7691">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100" w:afterAutospacing="1" w:line="240" w:lineRule="auto"/>
              <w:outlineLvl w:val="3"/>
              <w:divId w:val="1094327686"/>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Основи наукової комунікації іноземними мовами</w:t>
            </w:r>
          </w:p>
          <w:tbl>
            <w:tblPr>
              <w:tblW w:w="0" w:type="auto"/>
              <w:tblCellMar>
                <w:top w:w="15" w:type="dxa"/>
                <w:left w:w="15" w:type="dxa"/>
                <w:bottom w:w="15" w:type="dxa"/>
                <w:right w:w="15" w:type="dxa"/>
              </w:tblCellMar>
              <w:tblLook w:val="04A0" w:firstRow="1" w:lastRow="0" w:firstColumn="1" w:lastColumn="0" w:noHBand="0" w:noVBand="1"/>
            </w:tblPr>
            <w:tblGrid>
              <w:gridCol w:w="2566"/>
              <w:gridCol w:w="2530"/>
              <w:gridCol w:w="5631"/>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10, 11, 17</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репродуктивний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диференційований залік</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Філософія та методологія науки</w:t>
            </w:r>
          </w:p>
          <w:tbl>
            <w:tblPr>
              <w:tblW w:w="0" w:type="auto"/>
              <w:tblCellMar>
                <w:top w:w="15" w:type="dxa"/>
                <w:left w:w="15" w:type="dxa"/>
                <w:bottom w:w="15" w:type="dxa"/>
                <w:right w:w="15" w:type="dxa"/>
              </w:tblCellMar>
              <w:tblLook w:val="04A0" w:firstRow="1" w:lastRow="0" w:firstColumn="1" w:lastColumn="0" w:noHBand="0" w:noVBand="1"/>
            </w:tblPr>
            <w:tblGrid>
              <w:gridCol w:w="2566"/>
              <w:gridCol w:w="2530"/>
              <w:gridCol w:w="5631"/>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1, 4, 6, 7</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репродуктивний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диференційований залік</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Макроеволюція органічного світу</w:t>
            </w:r>
          </w:p>
          <w:tbl>
            <w:tblPr>
              <w:tblW w:w="0" w:type="auto"/>
              <w:tblCellMar>
                <w:top w:w="15" w:type="dxa"/>
                <w:left w:w="15" w:type="dxa"/>
                <w:bottom w:w="15" w:type="dxa"/>
                <w:right w:w="15" w:type="dxa"/>
              </w:tblCellMar>
              <w:tblLook w:val="04A0" w:firstRow="1" w:lastRow="0" w:firstColumn="1" w:lastColumn="0" w:noHBand="0" w:noVBand="1"/>
            </w:tblPr>
            <w:tblGrid>
              <w:gridCol w:w="2711"/>
              <w:gridCol w:w="4372"/>
              <w:gridCol w:w="3644"/>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1, 13, 14, 15, 17, 18, 20, 21, 22, 23, 24, 25</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практичний, наочний, іноваційний, частково-пошуковий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екзамен</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Методика навчання основ здоров'я</w:t>
            </w:r>
          </w:p>
          <w:tbl>
            <w:tblPr>
              <w:tblW w:w="0" w:type="auto"/>
              <w:tblCellMar>
                <w:top w:w="15" w:type="dxa"/>
                <w:left w:w="15" w:type="dxa"/>
                <w:bottom w:w="15" w:type="dxa"/>
                <w:right w:w="15" w:type="dxa"/>
              </w:tblCellMar>
              <w:tblLook w:val="04A0" w:firstRow="1" w:lastRow="0" w:firstColumn="1" w:lastColumn="0" w:noHBand="0" w:noVBand="1"/>
            </w:tblPr>
            <w:tblGrid>
              <w:gridCol w:w="3214"/>
              <w:gridCol w:w="4075"/>
              <w:gridCol w:w="3438"/>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2,3,4,5,6,7,8,9,10,12, 16,19, 26, 27, 28, 29, 30</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практичний, наочний, іноваційний, частково-пошуковий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екзамен</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Експериментальна фізіологія організму людини і тварин</w:t>
            </w:r>
          </w:p>
          <w:tbl>
            <w:tblPr>
              <w:tblW w:w="0" w:type="auto"/>
              <w:tblCellMar>
                <w:top w:w="15" w:type="dxa"/>
                <w:left w:w="15" w:type="dxa"/>
                <w:bottom w:w="15" w:type="dxa"/>
                <w:right w:w="15" w:type="dxa"/>
              </w:tblCellMar>
              <w:tblLook w:val="04A0" w:firstRow="1" w:lastRow="0" w:firstColumn="1" w:lastColumn="0" w:noHBand="0" w:noVBand="1"/>
            </w:tblPr>
            <w:tblGrid>
              <w:gridCol w:w="2349"/>
              <w:gridCol w:w="4555"/>
              <w:gridCol w:w="3823"/>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1, 13, 14, 15, 17, 18, 20, 22, 25</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практичний, наочний, іноваційний, частково-пошуковий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екзамен</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Педагогіка і психологія вищої школи</w:t>
            </w:r>
          </w:p>
          <w:tbl>
            <w:tblPr>
              <w:tblW w:w="0" w:type="auto"/>
              <w:tblCellMar>
                <w:top w:w="15" w:type="dxa"/>
                <w:left w:w="15" w:type="dxa"/>
                <w:bottom w:w="15" w:type="dxa"/>
                <w:right w:w="15" w:type="dxa"/>
              </w:tblCellMar>
              <w:tblLook w:val="04A0" w:firstRow="1" w:lastRow="0" w:firstColumn="1" w:lastColumn="0" w:noHBand="0" w:noVBand="1"/>
            </w:tblPr>
            <w:tblGrid>
              <w:gridCol w:w="3435"/>
              <w:gridCol w:w="2630"/>
              <w:gridCol w:w="4662"/>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2,3, 4, 5, 6, 7, 8, 9, 10, 11, 12 19, 27, 29, 30</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репродуктивний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екзамен</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Методика викладання фахових біологічних дисциплін у закладі вищої освіти</w:t>
            </w:r>
          </w:p>
          <w:tbl>
            <w:tblPr>
              <w:tblW w:w="0" w:type="auto"/>
              <w:tblCellMar>
                <w:top w:w="15" w:type="dxa"/>
                <w:left w:w="15" w:type="dxa"/>
                <w:bottom w:w="15" w:type="dxa"/>
                <w:right w:w="15" w:type="dxa"/>
              </w:tblCellMar>
              <w:tblLook w:val="04A0" w:firstRow="1" w:lastRow="0" w:firstColumn="1" w:lastColumn="0" w:noHBand="0" w:noVBand="1"/>
            </w:tblPr>
            <w:tblGrid>
              <w:gridCol w:w="2534"/>
              <w:gridCol w:w="4548"/>
              <w:gridCol w:w="3645"/>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2, 3, 4, 5, 6, 7, 8, 9, 10, 12, 19, 26, 30</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практичний, наочний, іноваційний, частково-пошуковий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Усна відповідь, письмова відповідь, тестування, залік</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Виробнича практика</w:t>
            </w:r>
          </w:p>
          <w:tbl>
            <w:tblPr>
              <w:tblW w:w="0" w:type="auto"/>
              <w:tblCellMar>
                <w:top w:w="15" w:type="dxa"/>
                <w:left w:w="15" w:type="dxa"/>
                <w:bottom w:w="15" w:type="dxa"/>
                <w:right w:w="15" w:type="dxa"/>
              </w:tblCellMar>
              <w:tblLook w:val="04A0" w:firstRow="1" w:lastRow="0" w:firstColumn="1" w:lastColumn="0" w:noHBand="0" w:noVBand="1"/>
            </w:tblPr>
            <w:tblGrid>
              <w:gridCol w:w="6171"/>
              <w:gridCol w:w="2151"/>
              <w:gridCol w:w="2405"/>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2, 3, 4, 5, 6, 7, 8, 9, 10, 11, 12, 13, 14, 15, 16, 17, 18, 19, 20, 23, 24, 25, 27, 28, 29</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Словесний, практичний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Диференційований залік</w:t>
                  </w:r>
                </w:p>
              </w:tc>
            </w:tr>
          </w:tbl>
          <w:p w:rsidR="009E1944" w:rsidRPr="009E1944" w:rsidRDefault="009E1944" w:rsidP="009E1944">
            <w:pPr>
              <w:spacing w:after="100" w:afterAutospacing="1" w:line="240" w:lineRule="auto"/>
              <w:outlineLvl w:val="3"/>
              <w:rPr>
                <w:rFonts w:ascii="Times New Roman" w:eastAsia="Times New Roman" w:hAnsi="Times New Roman" w:cs="Times New Roman"/>
                <w:i/>
                <w:iCs/>
                <w:color w:val="212529"/>
                <w:sz w:val="24"/>
                <w:szCs w:val="24"/>
                <w:lang w:eastAsia="ru-RU"/>
              </w:rPr>
            </w:pPr>
            <w:r w:rsidRPr="009E1944">
              <w:rPr>
                <w:rFonts w:ascii="Times New Roman" w:eastAsia="Times New Roman" w:hAnsi="Times New Roman" w:cs="Times New Roman"/>
                <w:i/>
                <w:iCs/>
                <w:color w:val="212529"/>
                <w:sz w:val="24"/>
                <w:szCs w:val="24"/>
                <w:lang w:eastAsia="ru-RU"/>
              </w:rPr>
              <w:t>Виконання дипломної роботи (у т.ч. переддипломна практика) та атестація здобувачів вищої освіти</w:t>
            </w:r>
          </w:p>
          <w:tbl>
            <w:tblPr>
              <w:tblW w:w="0" w:type="auto"/>
              <w:tblCellMar>
                <w:top w:w="15" w:type="dxa"/>
                <w:left w:w="15" w:type="dxa"/>
                <w:bottom w:w="15" w:type="dxa"/>
                <w:right w:w="15" w:type="dxa"/>
              </w:tblCellMar>
              <w:tblLook w:val="04A0" w:firstRow="1" w:lastRow="0" w:firstColumn="1" w:lastColumn="0" w:noHBand="0" w:noVBand="1"/>
            </w:tblPr>
            <w:tblGrid>
              <w:gridCol w:w="2735"/>
              <w:gridCol w:w="4641"/>
              <w:gridCol w:w="3351"/>
            </w:tblGrid>
            <w:tr w:rsidR="009E1944" w:rsidRPr="009E1944" w:rsidTr="009E1944">
              <w:trPr>
                <w:tblHeader/>
              </w:trPr>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Програмні результати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Методи навчання</w:t>
                  </w:r>
                </w:p>
              </w:tc>
              <w:tc>
                <w:tcPr>
                  <w:tcW w:w="0" w:type="auto"/>
                  <w:tcBorders>
                    <w:top w:val="single" w:sz="6" w:space="0" w:color="DEE2E6"/>
                    <w:left w:val="single" w:sz="6" w:space="0" w:color="DEE2E6"/>
                    <w:bottom w:val="single" w:sz="12"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Форми оцінювання</w:t>
                  </w:r>
                </w:p>
              </w:tc>
            </w:tr>
            <w:tr w:rsidR="009E1944" w:rsidRPr="009E1944" w:rsidTr="009E1944">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1, 13, 14, 15, 17, 18</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Репродуктивний, частково-пошуковий, дослідницький</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Прилюдний захист, письмовий екзамен</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Загальна інформація про заклад</w:t>
      </w:r>
    </w:p>
    <w:tbl>
      <w:tblPr>
        <w:tblW w:w="10773" w:type="dxa"/>
        <w:tblCellMar>
          <w:top w:w="15" w:type="dxa"/>
          <w:left w:w="15" w:type="dxa"/>
          <w:bottom w:w="15" w:type="dxa"/>
          <w:right w:w="15" w:type="dxa"/>
        </w:tblCellMar>
        <w:tblLook w:val="04A0" w:firstRow="1" w:lastRow="0" w:firstColumn="1" w:lastColumn="0" w:noHBand="0" w:noVBand="1"/>
      </w:tblPr>
      <w:tblGrid>
        <w:gridCol w:w="1696"/>
        <w:gridCol w:w="9286"/>
      </w:tblGrid>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Кількість ліцензованих спеціальностей</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1 (бакалаврським)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54</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2 (магістерським)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42</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3 (освітньо-науковим/ освітньо-творчим)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14</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Кількість акредитованих освітніх програм</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1 (бакалаврським)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34</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2 (магістерським)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37</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 3 (освітньо-науковим / освітньо-творчим) рівнем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0</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 xml:space="preserve">Контингент студентів на </w:t>
            </w:r>
            <w:r w:rsidRPr="009E1944">
              <w:rPr>
                <w:rFonts w:ascii="Times New Roman" w:eastAsia="Times New Roman" w:hAnsi="Times New Roman" w:cs="Times New Roman"/>
                <w:b/>
                <w:bCs/>
                <w:color w:val="212529"/>
                <w:sz w:val="24"/>
                <w:szCs w:val="24"/>
                <w:lang w:eastAsia="ru-RU"/>
              </w:rPr>
              <w:lastRenderedPageBreak/>
              <w:t>всіх курсах навчання</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На денній формі навчання</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3763</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lastRenderedPageBreak/>
                    <w:t>На інших формах навчання (заочна, дистанційна)</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1951</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lastRenderedPageBreak/>
              <w:t>Кількість факультетів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Кількість кафедр</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w:t>
            </w: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Кількість співробітників (всього)</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в т.ч. педагогічних</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421</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Серед них: - докторів наук, професорів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58</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кандидатів наук, доцентів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276</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Загальна площа будівель, кв. м</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Серед них:</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власні приміщення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68735</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орендовані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0</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здані в оренду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3249</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Навчальна площа будівель, кв. м</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Серед них:</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власні приміщення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46016</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орендовані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0</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 здані в оренду (кв. м)</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0</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Бібліотеки</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Кількість місць у читальному залі</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371</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r w:rsidR="009E1944" w:rsidRPr="009E1944" w:rsidTr="002C7691">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Гуртожитки</w:t>
            </w:r>
          </w:p>
        </w:tc>
        <w:tc>
          <w:tcPr>
            <w:tcW w:w="0" w:type="auto"/>
            <w:tcBorders>
              <w:top w:val="single" w:sz="6" w:space="0" w:color="DEE2E6"/>
              <w:left w:val="single" w:sz="6" w:space="0" w:color="DEE2E6"/>
              <w:bottom w:val="single" w:sz="6" w:space="0" w:color="DEE2E6"/>
              <w:right w:val="single" w:sz="6" w:space="0" w:color="DEE2E6"/>
            </w:tcBorders>
            <w:hideMark/>
          </w:tcPr>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Кількість гуртожитків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3</w:t>
                  </w:r>
                </w:p>
              </w:tc>
            </w:tr>
          </w:tbl>
          <w:p w:rsidR="009E1944" w:rsidRPr="009E1944" w:rsidRDefault="009E1944" w:rsidP="009E1944">
            <w:pPr>
              <w:spacing w:after="0" w:line="240" w:lineRule="auto"/>
              <w:rPr>
                <w:rFonts w:ascii="Times New Roman" w:eastAsia="Times New Roman" w:hAnsi="Times New Roman" w:cs="Times New Roman"/>
                <w:vanish/>
                <w:color w:val="212529"/>
                <w:sz w:val="24"/>
                <w:szCs w:val="24"/>
                <w:lang w:eastAsia="ru-RU"/>
              </w:rPr>
            </w:pPr>
          </w:p>
          <w:tbl>
            <w:tblPr>
              <w:tblW w:w="9240" w:type="dxa"/>
              <w:tblCellMar>
                <w:top w:w="15" w:type="dxa"/>
                <w:left w:w="15" w:type="dxa"/>
                <w:bottom w:w="15" w:type="dxa"/>
                <w:right w:w="15" w:type="dxa"/>
              </w:tblCellMar>
              <w:tblLook w:val="04A0" w:firstRow="1" w:lastRow="0" w:firstColumn="1" w:lastColumn="0" w:noHBand="0" w:noVBand="1"/>
            </w:tblPr>
            <w:tblGrid>
              <w:gridCol w:w="6930"/>
              <w:gridCol w:w="2310"/>
            </w:tblGrid>
            <w:tr w:rsidR="009E1944" w:rsidRPr="009E1944">
              <w:tc>
                <w:tcPr>
                  <w:tcW w:w="693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proofErr w:type="gramStart"/>
                  <w:r w:rsidRPr="009E1944">
                    <w:rPr>
                      <w:rFonts w:ascii="Times New Roman" w:eastAsia="Times New Roman" w:hAnsi="Times New Roman" w:cs="Times New Roman"/>
                      <w:sz w:val="24"/>
                      <w:szCs w:val="24"/>
                      <w:lang w:eastAsia="ru-RU"/>
                    </w:rPr>
                    <w:t>кількість</w:t>
                  </w:r>
                  <w:proofErr w:type="gramEnd"/>
                  <w:r w:rsidRPr="009E1944">
                    <w:rPr>
                      <w:rFonts w:ascii="Times New Roman" w:eastAsia="Times New Roman" w:hAnsi="Times New Roman" w:cs="Times New Roman"/>
                      <w:sz w:val="24"/>
                      <w:szCs w:val="24"/>
                      <w:lang w:eastAsia="ru-RU"/>
                    </w:rPr>
                    <w:t xml:space="preserve"> місць для проживання студентів</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1547</w:t>
                  </w:r>
                </w:p>
              </w:tc>
            </w:tr>
          </w:tbl>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p>
        </w:tc>
      </w:tr>
    </w:tbl>
    <w:p w:rsidR="009E1944" w:rsidRPr="009E1944" w:rsidRDefault="009E1944" w:rsidP="009E1944">
      <w:pPr>
        <w:shd w:val="clear" w:color="auto" w:fill="FFFFFF"/>
        <w:spacing w:line="240" w:lineRule="auto"/>
        <w:rPr>
          <w:rFonts w:ascii="Times New Roman" w:eastAsia="Times New Roman" w:hAnsi="Times New Roman" w:cs="Times New Roman"/>
          <w:sz w:val="24"/>
          <w:szCs w:val="24"/>
          <w:lang w:eastAsia="ru-RU"/>
        </w:rPr>
      </w:pPr>
      <w:r w:rsidRPr="009E1944">
        <w:rPr>
          <w:rFonts w:ascii="Times New Roman" w:eastAsia="Times New Roman" w:hAnsi="Times New Roman" w:cs="Times New Roman"/>
          <w:sz w:val="24"/>
          <w:szCs w:val="24"/>
          <w:lang w:eastAsia="ru-RU"/>
        </w:rPr>
        <w:t>Запевнення</w:t>
      </w:r>
    </w:p>
    <w:tbl>
      <w:tblPr>
        <w:tblW w:w="16020" w:type="dxa"/>
        <w:tblCellMar>
          <w:top w:w="15" w:type="dxa"/>
          <w:left w:w="15" w:type="dxa"/>
          <w:bottom w:w="15" w:type="dxa"/>
          <w:right w:w="15" w:type="dxa"/>
        </w:tblCellMar>
        <w:tblLook w:val="04A0" w:firstRow="1" w:lastRow="0" w:firstColumn="1" w:lastColumn="0" w:noHBand="0" w:noVBand="1"/>
      </w:tblPr>
      <w:tblGrid>
        <w:gridCol w:w="6390"/>
        <w:gridCol w:w="9630"/>
      </w:tblGrid>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Керівник ЗВО</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Співаковський Олександр Володимирович</w:t>
            </w:r>
          </w:p>
        </w:tc>
      </w:tr>
      <w:tr w:rsidR="009E1944" w:rsidRPr="009E1944" w:rsidTr="009E1944">
        <w:tc>
          <w:tcPr>
            <w:tcW w:w="6390" w:type="dxa"/>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jc w:val="center"/>
              <w:rPr>
                <w:rFonts w:ascii="Times New Roman" w:eastAsia="Times New Roman" w:hAnsi="Times New Roman" w:cs="Times New Roman"/>
                <w:b/>
                <w:bCs/>
                <w:color w:val="212529"/>
                <w:sz w:val="24"/>
                <w:szCs w:val="24"/>
                <w:lang w:eastAsia="ru-RU"/>
              </w:rPr>
            </w:pPr>
            <w:r w:rsidRPr="009E1944">
              <w:rPr>
                <w:rFonts w:ascii="Times New Roman" w:eastAsia="Times New Roman" w:hAnsi="Times New Roman" w:cs="Times New Roman"/>
                <w:b/>
                <w:bCs/>
                <w:color w:val="212529"/>
                <w:sz w:val="24"/>
                <w:szCs w:val="24"/>
                <w:lang w:eastAsia="ru-RU"/>
              </w:rPr>
              <w:t>Гарант освітньої програми</w:t>
            </w:r>
          </w:p>
        </w:tc>
        <w:tc>
          <w:tcPr>
            <w:tcW w:w="0" w:type="auto"/>
            <w:tcBorders>
              <w:top w:val="single" w:sz="6" w:space="0" w:color="DEE2E6"/>
              <w:left w:val="single" w:sz="6" w:space="0" w:color="DEE2E6"/>
              <w:bottom w:val="single" w:sz="6" w:space="0" w:color="DEE2E6"/>
              <w:right w:val="single" w:sz="6" w:space="0" w:color="DEE2E6"/>
            </w:tcBorders>
            <w:hideMark/>
          </w:tcPr>
          <w:p w:rsidR="009E1944" w:rsidRPr="009E1944" w:rsidRDefault="009E1944" w:rsidP="009E1944">
            <w:pPr>
              <w:spacing w:after="0" w:line="240" w:lineRule="auto"/>
              <w:rPr>
                <w:rFonts w:ascii="Times New Roman" w:eastAsia="Times New Roman" w:hAnsi="Times New Roman" w:cs="Times New Roman"/>
                <w:color w:val="212529"/>
                <w:sz w:val="24"/>
                <w:szCs w:val="24"/>
                <w:lang w:eastAsia="ru-RU"/>
              </w:rPr>
            </w:pPr>
            <w:r w:rsidRPr="009E1944">
              <w:rPr>
                <w:rFonts w:ascii="Times New Roman" w:eastAsia="Times New Roman" w:hAnsi="Times New Roman" w:cs="Times New Roman"/>
                <w:color w:val="212529"/>
                <w:sz w:val="24"/>
                <w:szCs w:val="24"/>
                <w:lang w:eastAsia="ru-RU"/>
              </w:rPr>
              <w:t>Сидорович Марина</w:t>
            </w:r>
          </w:p>
        </w:tc>
      </w:tr>
    </w:tbl>
    <w:p w:rsidR="009E1944" w:rsidRPr="009E1944" w:rsidRDefault="009E1944" w:rsidP="009E1944">
      <w:pPr>
        <w:spacing w:after="0" w:line="240" w:lineRule="auto"/>
        <w:rPr>
          <w:rFonts w:ascii="Helvetica" w:eastAsia="Times New Roman" w:hAnsi="Helvetica" w:cs="Helvetica"/>
          <w:color w:val="333333"/>
          <w:sz w:val="21"/>
          <w:szCs w:val="21"/>
          <w:lang w:eastAsia="ru-RU"/>
        </w:rPr>
      </w:pPr>
      <w:r w:rsidRPr="009E1944">
        <w:rPr>
          <w:rFonts w:ascii="Helvetica" w:eastAsia="Times New Roman" w:hAnsi="Helvetica" w:cs="Helvetica"/>
          <w:color w:val="333333"/>
          <w:sz w:val="21"/>
          <w:szCs w:val="21"/>
          <w:lang w:eastAsia="ru-RU"/>
        </w:rPr>
        <w:t>Авторське право © Усі права захищено</w:t>
      </w:r>
    </w:p>
    <w:p w:rsidR="009E1944" w:rsidRPr="009E1944" w:rsidRDefault="009E1944" w:rsidP="009E1944">
      <w:pPr>
        <w:spacing w:after="0" w:line="240" w:lineRule="auto"/>
        <w:rPr>
          <w:rFonts w:ascii="Helvetica" w:eastAsia="Times New Roman" w:hAnsi="Helvetica" w:cs="Helvetica"/>
          <w:color w:val="333333"/>
          <w:sz w:val="21"/>
          <w:szCs w:val="21"/>
          <w:lang w:eastAsia="ru-RU"/>
        </w:rPr>
      </w:pPr>
      <w:r w:rsidRPr="009E1944">
        <w:rPr>
          <w:rFonts w:ascii="Helvetica" w:eastAsia="Times New Roman" w:hAnsi="Helvetica" w:cs="Helvetica"/>
          <w:color w:val="333333"/>
          <w:sz w:val="21"/>
          <w:szCs w:val="21"/>
          <w:lang w:eastAsia="ru-RU"/>
        </w:rPr>
        <w:t>Контакти</w:t>
      </w:r>
      <w:r w:rsidRPr="009E1944">
        <w:rPr>
          <w:rFonts w:ascii="Helvetica" w:eastAsia="Times New Roman" w:hAnsi="Helvetica" w:cs="Helvetica"/>
          <w:color w:val="333333"/>
          <w:sz w:val="21"/>
          <w:szCs w:val="21"/>
          <w:lang w:eastAsia="ru-RU"/>
        </w:rPr>
        <w:br/>
      </w:r>
      <w:r w:rsidRPr="009E1944">
        <w:rPr>
          <w:rFonts w:ascii="Helvetica" w:eastAsia="Times New Roman" w:hAnsi="Helvetica" w:cs="Helvetica"/>
          <w:color w:val="333333"/>
          <w:sz w:val="14"/>
          <w:szCs w:val="14"/>
          <w:lang w:eastAsia="ru-RU"/>
        </w:rPr>
        <w:t>Адреса: 01001, м. Київ, вул. Бориса Грінченка,1</w:t>
      </w:r>
      <w:r w:rsidRPr="009E1944">
        <w:rPr>
          <w:rFonts w:ascii="Helvetica" w:eastAsia="Times New Roman" w:hAnsi="Helvetica" w:cs="Helvetica"/>
          <w:color w:val="333333"/>
          <w:sz w:val="21"/>
          <w:szCs w:val="21"/>
          <w:lang w:eastAsia="ru-RU"/>
        </w:rPr>
        <w:br/>
      </w:r>
      <w:r w:rsidRPr="009E1944">
        <w:rPr>
          <w:rFonts w:ascii="Helvetica" w:eastAsia="Times New Roman" w:hAnsi="Helvetica" w:cs="Helvetica"/>
          <w:color w:val="333333"/>
          <w:sz w:val="14"/>
          <w:szCs w:val="14"/>
          <w:lang w:eastAsia="ru-RU"/>
        </w:rPr>
        <w:t>E-mail: info@naqa.gov.ua</w:t>
      </w:r>
    </w:p>
    <w:p w:rsidR="009E1944" w:rsidRDefault="009E1944"/>
    <w:sectPr w:rsidR="009E1944" w:rsidSect="009E1944">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5F"/>
    <w:rsid w:val="002C7691"/>
    <w:rsid w:val="00873A5F"/>
    <w:rsid w:val="009E1944"/>
    <w:rsid w:val="00D56CC5"/>
    <w:rsid w:val="00DE1ECD"/>
    <w:rsid w:val="00E3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E75F5-9501-4FEC-8497-44DB565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1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E19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94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E194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E1944"/>
    <w:rPr>
      <w:color w:val="0000FF"/>
      <w:u w:val="single"/>
    </w:rPr>
  </w:style>
  <w:style w:type="paragraph" w:styleId="a4">
    <w:name w:val="Normal (Web)"/>
    <w:basedOn w:val="a"/>
    <w:uiPriority w:val="99"/>
    <w:semiHidden/>
    <w:unhideWhenUsed/>
    <w:rsid w:val="009E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9E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s">
    <w:name w:val="contacts"/>
    <w:basedOn w:val="a"/>
    <w:rsid w:val="009E19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20280">
      <w:bodyDiv w:val="1"/>
      <w:marLeft w:val="0"/>
      <w:marRight w:val="0"/>
      <w:marTop w:val="0"/>
      <w:marBottom w:val="0"/>
      <w:divBdr>
        <w:top w:val="none" w:sz="0" w:space="0" w:color="auto"/>
        <w:left w:val="none" w:sz="0" w:space="0" w:color="auto"/>
        <w:bottom w:val="none" w:sz="0" w:space="0" w:color="auto"/>
        <w:right w:val="none" w:sz="0" w:space="0" w:color="auto"/>
      </w:divBdr>
      <w:divsChild>
        <w:div w:id="793401762">
          <w:marLeft w:val="0"/>
          <w:marRight w:val="0"/>
          <w:marTop w:val="0"/>
          <w:marBottom w:val="0"/>
          <w:divBdr>
            <w:top w:val="none" w:sz="0" w:space="0" w:color="auto"/>
            <w:left w:val="none" w:sz="0" w:space="0" w:color="auto"/>
            <w:bottom w:val="none" w:sz="0" w:space="0" w:color="auto"/>
            <w:right w:val="none" w:sz="0" w:space="0" w:color="auto"/>
          </w:divBdr>
          <w:divsChild>
            <w:div w:id="2107725360">
              <w:marLeft w:val="0"/>
              <w:marRight w:val="0"/>
              <w:marTop w:val="0"/>
              <w:marBottom w:val="0"/>
              <w:divBdr>
                <w:top w:val="none" w:sz="0" w:space="0" w:color="auto"/>
                <w:left w:val="none" w:sz="0" w:space="0" w:color="auto"/>
                <w:bottom w:val="none" w:sz="0" w:space="0" w:color="auto"/>
                <w:right w:val="none" w:sz="0" w:space="0" w:color="auto"/>
              </w:divBdr>
            </w:div>
            <w:div w:id="128517757">
              <w:marLeft w:val="0"/>
              <w:marRight w:val="0"/>
              <w:marTop w:val="0"/>
              <w:marBottom w:val="0"/>
              <w:divBdr>
                <w:top w:val="none" w:sz="0" w:space="0" w:color="auto"/>
                <w:left w:val="none" w:sz="0" w:space="0" w:color="auto"/>
                <w:bottom w:val="none" w:sz="0" w:space="0" w:color="auto"/>
                <w:right w:val="none" w:sz="0" w:space="0" w:color="auto"/>
              </w:divBdr>
            </w:div>
            <w:div w:id="1673141321">
              <w:marLeft w:val="0"/>
              <w:marRight w:val="0"/>
              <w:marTop w:val="0"/>
              <w:marBottom w:val="0"/>
              <w:divBdr>
                <w:top w:val="none" w:sz="0" w:space="0" w:color="auto"/>
                <w:left w:val="none" w:sz="0" w:space="0" w:color="auto"/>
                <w:bottom w:val="none" w:sz="0" w:space="0" w:color="auto"/>
                <w:right w:val="none" w:sz="0" w:space="0" w:color="auto"/>
              </w:divBdr>
            </w:div>
          </w:divsChild>
        </w:div>
        <w:div w:id="1744448885">
          <w:marLeft w:val="0"/>
          <w:marRight w:val="0"/>
          <w:marTop w:val="0"/>
          <w:marBottom w:val="0"/>
          <w:divBdr>
            <w:top w:val="none" w:sz="0" w:space="0" w:color="auto"/>
            <w:left w:val="none" w:sz="0" w:space="0" w:color="auto"/>
            <w:bottom w:val="none" w:sz="0" w:space="0" w:color="auto"/>
            <w:right w:val="none" w:sz="0" w:space="0" w:color="auto"/>
          </w:divBdr>
          <w:divsChild>
            <w:div w:id="448092292">
              <w:marLeft w:val="0"/>
              <w:marRight w:val="0"/>
              <w:marTop w:val="0"/>
              <w:marBottom w:val="0"/>
              <w:divBdr>
                <w:top w:val="none" w:sz="0" w:space="0" w:color="auto"/>
                <w:left w:val="none" w:sz="0" w:space="0" w:color="auto"/>
                <w:bottom w:val="none" w:sz="0" w:space="0" w:color="auto"/>
                <w:right w:val="none" w:sz="0" w:space="0" w:color="auto"/>
              </w:divBdr>
              <w:divsChild>
                <w:div w:id="1754006799">
                  <w:marLeft w:val="0"/>
                  <w:marRight w:val="0"/>
                  <w:marTop w:val="0"/>
                  <w:marBottom w:val="300"/>
                  <w:divBdr>
                    <w:top w:val="none" w:sz="0" w:space="0" w:color="auto"/>
                    <w:left w:val="none" w:sz="0" w:space="0" w:color="auto"/>
                    <w:bottom w:val="none" w:sz="0" w:space="0" w:color="auto"/>
                    <w:right w:val="none" w:sz="0" w:space="0" w:color="auto"/>
                  </w:divBdr>
                  <w:divsChild>
                    <w:div w:id="787042490">
                      <w:marLeft w:val="0"/>
                      <w:marRight w:val="0"/>
                      <w:marTop w:val="0"/>
                      <w:marBottom w:val="0"/>
                      <w:divBdr>
                        <w:top w:val="none" w:sz="0" w:space="0" w:color="auto"/>
                        <w:left w:val="none" w:sz="0" w:space="0" w:color="auto"/>
                        <w:bottom w:val="none" w:sz="0" w:space="0" w:color="auto"/>
                        <w:right w:val="none" w:sz="0" w:space="0" w:color="auto"/>
                      </w:divBdr>
                    </w:div>
                    <w:div w:id="163909219">
                      <w:marLeft w:val="0"/>
                      <w:marRight w:val="0"/>
                      <w:marTop w:val="0"/>
                      <w:marBottom w:val="0"/>
                      <w:divBdr>
                        <w:top w:val="none" w:sz="0" w:space="0" w:color="auto"/>
                        <w:left w:val="none" w:sz="0" w:space="0" w:color="auto"/>
                        <w:bottom w:val="none" w:sz="0" w:space="0" w:color="auto"/>
                        <w:right w:val="none" w:sz="0" w:space="0" w:color="auto"/>
                      </w:divBdr>
                      <w:divsChild>
                        <w:div w:id="5461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965">
                  <w:marLeft w:val="0"/>
                  <w:marRight w:val="0"/>
                  <w:marTop w:val="0"/>
                  <w:marBottom w:val="300"/>
                  <w:divBdr>
                    <w:top w:val="none" w:sz="0" w:space="0" w:color="auto"/>
                    <w:left w:val="none" w:sz="0" w:space="0" w:color="auto"/>
                    <w:bottom w:val="none" w:sz="0" w:space="0" w:color="auto"/>
                    <w:right w:val="none" w:sz="0" w:space="0" w:color="auto"/>
                  </w:divBdr>
                  <w:divsChild>
                    <w:div w:id="401605383">
                      <w:marLeft w:val="0"/>
                      <w:marRight w:val="0"/>
                      <w:marTop w:val="0"/>
                      <w:marBottom w:val="0"/>
                      <w:divBdr>
                        <w:top w:val="none" w:sz="0" w:space="0" w:color="auto"/>
                        <w:left w:val="none" w:sz="0" w:space="0" w:color="auto"/>
                        <w:bottom w:val="none" w:sz="0" w:space="0" w:color="auto"/>
                        <w:right w:val="none" w:sz="0" w:space="0" w:color="auto"/>
                      </w:divBdr>
                    </w:div>
                    <w:div w:id="1128932664">
                      <w:marLeft w:val="0"/>
                      <w:marRight w:val="0"/>
                      <w:marTop w:val="0"/>
                      <w:marBottom w:val="0"/>
                      <w:divBdr>
                        <w:top w:val="none" w:sz="0" w:space="0" w:color="auto"/>
                        <w:left w:val="none" w:sz="0" w:space="0" w:color="auto"/>
                        <w:bottom w:val="none" w:sz="0" w:space="0" w:color="auto"/>
                        <w:right w:val="none" w:sz="0" w:space="0" w:color="auto"/>
                      </w:divBdr>
                      <w:divsChild>
                        <w:div w:id="1080635450">
                          <w:marLeft w:val="0"/>
                          <w:marRight w:val="0"/>
                          <w:marTop w:val="0"/>
                          <w:marBottom w:val="0"/>
                          <w:divBdr>
                            <w:top w:val="none" w:sz="0" w:space="0" w:color="auto"/>
                            <w:left w:val="none" w:sz="0" w:space="0" w:color="auto"/>
                            <w:bottom w:val="none" w:sz="0" w:space="0" w:color="auto"/>
                            <w:right w:val="none" w:sz="0" w:space="0" w:color="auto"/>
                          </w:divBdr>
                          <w:divsChild>
                            <w:div w:id="4337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5303">
                  <w:marLeft w:val="0"/>
                  <w:marRight w:val="0"/>
                  <w:marTop w:val="0"/>
                  <w:marBottom w:val="300"/>
                  <w:divBdr>
                    <w:top w:val="none" w:sz="0" w:space="0" w:color="auto"/>
                    <w:left w:val="none" w:sz="0" w:space="0" w:color="auto"/>
                    <w:bottom w:val="none" w:sz="0" w:space="0" w:color="auto"/>
                    <w:right w:val="none" w:sz="0" w:space="0" w:color="auto"/>
                  </w:divBdr>
                  <w:divsChild>
                    <w:div w:id="551691249">
                      <w:marLeft w:val="0"/>
                      <w:marRight w:val="0"/>
                      <w:marTop w:val="0"/>
                      <w:marBottom w:val="0"/>
                      <w:divBdr>
                        <w:top w:val="none" w:sz="0" w:space="0" w:color="auto"/>
                        <w:left w:val="none" w:sz="0" w:space="0" w:color="auto"/>
                        <w:bottom w:val="none" w:sz="0" w:space="0" w:color="auto"/>
                        <w:right w:val="none" w:sz="0" w:space="0" w:color="auto"/>
                      </w:divBdr>
                    </w:div>
                    <w:div w:id="1156604910">
                      <w:marLeft w:val="0"/>
                      <w:marRight w:val="0"/>
                      <w:marTop w:val="0"/>
                      <w:marBottom w:val="0"/>
                      <w:divBdr>
                        <w:top w:val="none" w:sz="0" w:space="0" w:color="auto"/>
                        <w:left w:val="none" w:sz="0" w:space="0" w:color="auto"/>
                        <w:bottom w:val="none" w:sz="0" w:space="0" w:color="auto"/>
                        <w:right w:val="none" w:sz="0" w:space="0" w:color="auto"/>
                      </w:divBdr>
                      <w:divsChild>
                        <w:div w:id="6771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580">
                  <w:marLeft w:val="0"/>
                  <w:marRight w:val="0"/>
                  <w:marTop w:val="0"/>
                  <w:marBottom w:val="300"/>
                  <w:divBdr>
                    <w:top w:val="none" w:sz="0" w:space="0" w:color="auto"/>
                    <w:left w:val="none" w:sz="0" w:space="0" w:color="auto"/>
                    <w:bottom w:val="none" w:sz="0" w:space="0" w:color="auto"/>
                    <w:right w:val="none" w:sz="0" w:space="0" w:color="auto"/>
                  </w:divBdr>
                  <w:divsChild>
                    <w:div w:id="1726296833">
                      <w:marLeft w:val="0"/>
                      <w:marRight w:val="0"/>
                      <w:marTop w:val="0"/>
                      <w:marBottom w:val="0"/>
                      <w:divBdr>
                        <w:top w:val="none" w:sz="0" w:space="0" w:color="auto"/>
                        <w:left w:val="none" w:sz="0" w:space="0" w:color="auto"/>
                        <w:bottom w:val="none" w:sz="0" w:space="0" w:color="auto"/>
                        <w:right w:val="none" w:sz="0" w:space="0" w:color="auto"/>
                      </w:divBdr>
                    </w:div>
                    <w:div w:id="335891056">
                      <w:marLeft w:val="0"/>
                      <w:marRight w:val="0"/>
                      <w:marTop w:val="0"/>
                      <w:marBottom w:val="0"/>
                      <w:divBdr>
                        <w:top w:val="none" w:sz="0" w:space="0" w:color="auto"/>
                        <w:left w:val="none" w:sz="0" w:space="0" w:color="auto"/>
                        <w:bottom w:val="none" w:sz="0" w:space="0" w:color="auto"/>
                        <w:right w:val="none" w:sz="0" w:space="0" w:color="auto"/>
                      </w:divBdr>
                      <w:divsChild>
                        <w:div w:id="21206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101">
                  <w:marLeft w:val="0"/>
                  <w:marRight w:val="0"/>
                  <w:marTop w:val="0"/>
                  <w:marBottom w:val="300"/>
                  <w:divBdr>
                    <w:top w:val="none" w:sz="0" w:space="0" w:color="auto"/>
                    <w:left w:val="none" w:sz="0" w:space="0" w:color="auto"/>
                    <w:bottom w:val="none" w:sz="0" w:space="0" w:color="auto"/>
                    <w:right w:val="none" w:sz="0" w:space="0" w:color="auto"/>
                  </w:divBdr>
                  <w:divsChild>
                    <w:div w:id="932670583">
                      <w:marLeft w:val="0"/>
                      <w:marRight w:val="0"/>
                      <w:marTop w:val="0"/>
                      <w:marBottom w:val="0"/>
                      <w:divBdr>
                        <w:top w:val="none" w:sz="0" w:space="0" w:color="auto"/>
                        <w:left w:val="none" w:sz="0" w:space="0" w:color="auto"/>
                        <w:bottom w:val="none" w:sz="0" w:space="0" w:color="auto"/>
                        <w:right w:val="none" w:sz="0" w:space="0" w:color="auto"/>
                      </w:divBdr>
                    </w:div>
                    <w:div w:id="2130852894">
                      <w:marLeft w:val="0"/>
                      <w:marRight w:val="0"/>
                      <w:marTop w:val="0"/>
                      <w:marBottom w:val="0"/>
                      <w:divBdr>
                        <w:top w:val="none" w:sz="0" w:space="0" w:color="auto"/>
                        <w:left w:val="none" w:sz="0" w:space="0" w:color="auto"/>
                        <w:bottom w:val="none" w:sz="0" w:space="0" w:color="auto"/>
                        <w:right w:val="none" w:sz="0" w:space="0" w:color="auto"/>
                      </w:divBdr>
                      <w:divsChild>
                        <w:div w:id="9597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721">
                  <w:marLeft w:val="0"/>
                  <w:marRight w:val="0"/>
                  <w:marTop w:val="0"/>
                  <w:marBottom w:val="300"/>
                  <w:divBdr>
                    <w:top w:val="none" w:sz="0" w:space="0" w:color="auto"/>
                    <w:left w:val="none" w:sz="0" w:space="0" w:color="auto"/>
                    <w:bottom w:val="none" w:sz="0" w:space="0" w:color="auto"/>
                    <w:right w:val="none" w:sz="0" w:space="0" w:color="auto"/>
                  </w:divBdr>
                  <w:divsChild>
                    <w:div w:id="831142732">
                      <w:marLeft w:val="0"/>
                      <w:marRight w:val="0"/>
                      <w:marTop w:val="0"/>
                      <w:marBottom w:val="0"/>
                      <w:divBdr>
                        <w:top w:val="none" w:sz="0" w:space="0" w:color="auto"/>
                        <w:left w:val="none" w:sz="0" w:space="0" w:color="auto"/>
                        <w:bottom w:val="none" w:sz="0" w:space="0" w:color="auto"/>
                        <w:right w:val="none" w:sz="0" w:space="0" w:color="auto"/>
                      </w:divBdr>
                    </w:div>
                    <w:div w:id="465391018">
                      <w:marLeft w:val="0"/>
                      <w:marRight w:val="0"/>
                      <w:marTop w:val="0"/>
                      <w:marBottom w:val="0"/>
                      <w:divBdr>
                        <w:top w:val="none" w:sz="0" w:space="0" w:color="auto"/>
                        <w:left w:val="none" w:sz="0" w:space="0" w:color="auto"/>
                        <w:bottom w:val="none" w:sz="0" w:space="0" w:color="auto"/>
                        <w:right w:val="none" w:sz="0" w:space="0" w:color="auto"/>
                      </w:divBdr>
                      <w:divsChild>
                        <w:div w:id="439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064">
                  <w:marLeft w:val="0"/>
                  <w:marRight w:val="0"/>
                  <w:marTop w:val="0"/>
                  <w:marBottom w:val="300"/>
                  <w:divBdr>
                    <w:top w:val="none" w:sz="0" w:space="0" w:color="auto"/>
                    <w:left w:val="none" w:sz="0" w:space="0" w:color="auto"/>
                    <w:bottom w:val="none" w:sz="0" w:space="0" w:color="auto"/>
                    <w:right w:val="none" w:sz="0" w:space="0" w:color="auto"/>
                  </w:divBdr>
                  <w:divsChild>
                    <w:div w:id="935291628">
                      <w:marLeft w:val="0"/>
                      <w:marRight w:val="0"/>
                      <w:marTop w:val="0"/>
                      <w:marBottom w:val="0"/>
                      <w:divBdr>
                        <w:top w:val="none" w:sz="0" w:space="0" w:color="auto"/>
                        <w:left w:val="none" w:sz="0" w:space="0" w:color="auto"/>
                        <w:bottom w:val="none" w:sz="0" w:space="0" w:color="auto"/>
                        <w:right w:val="none" w:sz="0" w:space="0" w:color="auto"/>
                      </w:divBdr>
                    </w:div>
                    <w:div w:id="1714884380">
                      <w:marLeft w:val="0"/>
                      <w:marRight w:val="0"/>
                      <w:marTop w:val="0"/>
                      <w:marBottom w:val="0"/>
                      <w:divBdr>
                        <w:top w:val="none" w:sz="0" w:space="0" w:color="auto"/>
                        <w:left w:val="none" w:sz="0" w:space="0" w:color="auto"/>
                        <w:bottom w:val="none" w:sz="0" w:space="0" w:color="auto"/>
                        <w:right w:val="none" w:sz="0" w:space="0" w:color="auto"/>
                      </w:divBdr>
                      <w:divsChild>
                        <w:div w:id="5160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760">
                  <w:marLeft w:val="0"/>
                  <w:marRight w:val="0"/>
                  <w:marTop w:val="0"/>
                  <w:marBottom w:val="300"/>
                  <w:divBdr>
                    <w:top w:val="none" w:sz="0" w:space="0" w:color="auto"/>
                    <w:left w:val="none" w:sz="0" w:space="0" w:color="auto"/>
                    <w:bottom w:val="none" w:sz="0" w:space="0" w:color="auto"/>
                    <w:right w:val="none" w:sz="0" w:space="0" w:color="auto"/>
                  </w:divBdr>
                  <w:divsChild>
                    <w:div w:id="974217168">
                      <w:marLeft w:val="0"/>
                      <w:marRight w:val="0"/>
                      <w:marTop w:val="0"/>
                      <w:marBottom w:val="0"/>
                      <w:divBdr>
                        <w:top w:val="none" w:sz="0" w:space="0" w:color="auto"/>
                        <w:left w:val="none" w:sz="0" w:space="0" w:color="auto"/>
                        <w:bottom w:val="none" w:sz="0" w:space="0" w:color="auto"/>
                        <w:right w:val="none" w:sz="0" w:space="0" w:color="auto"/>
                      </w:divBdr>
                    </w:div>
                    <w:div w:id="188567593">
                      <w:marLeft w:val="0"/>
                      <w:marRight w:val="0"/>
                      <w:marTop w:val="0"/>
                      <w:marBottom w:val="0"/>
                      <w:divBdr>
                        <w:top w:val="none" w:sz="0" w:space="0" w:color="auto"/>
                        <w:left w:val="none" w:sz="0" w:space="0" w:color="auto"/>
                        <w:bottom w:val="none" w:sz="0" w:space="0" w:color="auto"/>
                        <w:right w:val="none" w:sz="0" w:space="0" w:color="auto"/>
                      </w:divBdr>
                      <w:divsChild>
                        <w:div w:id="8661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4358">
                  <w:marLeft w:val="0"/>
                  <w:marRight w:val="0"/>
                  <w:marTop w:val="0"/>
                  <w:marBottom w:val="300"/>
                  <w:divBdr>
                    <w:top w:val="none" w:sz="0" w:space="0" w:color="auto"/>
                    <w:left w:val="none" w:sz="0" w:space="0" w:color="auto"/>
                    <w:bottom w:val="none" w:sz="0" w:space="0" w:color="auto"/>
                    <w:right w:val="none" w:sz="0" w:space="0" w:color="auto"/>
                  </w:divBdr>
                  <w:divsChild>
                    <w:div w:id="2011331294">
                      <w:marLeft w:val="0"/>
                      <w:marRight w:val="0"/>
                      <w:marTop w:val="0"/>
                      <w:marBottom w:val="0"/>
                      <w:divBdr>
                        <w:top w:val="none" w:sz="0" w:space="0" w:color="auto"/>
                        <w:left w:val="none" w:sz="0" w:space="0" w:color="auto"/>
                        <w:bottom w:val="none" w:sz="0" w:space="0" w:color="auto"/>
                        <w:right w:val="none" w:sz="0" w:space="0" w:color="auto"/>
                      </w:divBdr>
                    </w:div>
                    <w:div w:id="570888839">
                      <w:marLeft w:val="0"/>
                      <w:marRight w:val="0"/>
                      <w:marTop w:val="0"/>
                      <w:marBottom w:val="0"/>
                      <w:divBdr>
                        <w:top w:val="none" w:sz="0" w:space="0" w:color="auto"/>
                        <w:left w:val="none" w:sz="0" w:space="0" w:color="auto"/>
                        <w:bottom w:val="none" w:sz="0" w:space="0" w:color="auto"/>
                        <w:right w:val="none" w:sz="0" w:space="0" w:color="auto"/>
                      </w:divBdr>
                      <w:divsChild>
                        <w:div w:id="6975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6031">
                  <w:marLeft w:val="0"/>
                  <w:marRight w:val="0"/>
                  <w:marTop w:val="0"/>
                  <w:marBottom w:val="300"/>
                  <w:divBdr>
                    <w:top w:val="none" w:sz="0" w:space="0" w:color="auto"/>
                    <w:left w:val="none" w:sz="0" w:space="0" w:color="auto"/>
                    <w:bottom w:val="none" w:sz="0" w:space="0" w:color="auto"/>
                    <w:right w:val="none" w:sz="0" w:space="0" w:color="auto"/>
                  </w:divBdr>
                  <w:divsChild>
                    <w:div w:id="1822498828">
                      <w:marLeft w:val="0"/>
                      <w:marRight w:val="0"/>
                      <w:marTop w:val="0"/>
                      <w:marBottom w:val="0"/>
                      <w:divBdr>
                        <w:top w:val="none" w:sz="0" w:space="0" w:color="auto"/>
                        <w:left w:val="none" w:sz="0" w:space="0" w:color="auto"/>
                        <w:bottom w:val="none" w:sz="0" w:space="0" w:color="auto"/>
                        <w:right w:val="none" w:sz="0" w:space="0" w:color="auto"/>
                      </w:divBdr>
                    </w:div>
                    <w:div w:id="1011025626">
                      <w:marLeft w:val="0"/>
                      <w:marRight w:val="0"/>
                      <w:marTop w:val="0"/>
                      <w:marBottom w:val="0"/>
                      <w:divBdr>
                        <w:top w:val="none" w:sz="0" w:space="0" w:color="auto"/>
                        <w:left w:val="none" w:sz="0" w:space="0" w:color="auto"/>
                        <w:bottom w:val="none" w:sz="0" w:space="0" w:color="auto"/>
                        <w:right w:val="none" w:sz="0" w:space="0" w:color="auto"/>
                      </w:divBdr>
                      <w:divsChild>
                        <w:div w:id="16608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820">
                  <w:marLeft w:val="0"/>
                  <w:marRight w:val="0"/>
                  <w:marTop w:val="0"/>
                  <w:marBottom w:val="30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 w:id="1933734763">
                      <w:marLeft w:val="0"/>
                      <w:marRight w:val="0"/>
                      <w:marTop w:val="0"/>
                      <w:marBottom w:val="0"/>
                      <w:divBdr>
                        <w:top w:val="none" w:sz="0" w:space="0" w:color="auto"/>
                        <w:left w:val="none" w:sz="0" w:space="0" w:color="auto"/>
                        <w:bottom w:val="none" w:sz="0" w:space="0" w:color="auto"/>
                        <w:right w:val="none" w:sz="0" w:space="0" w:color="auto"/>
                      </w:divBdr>
                      <w:divsChild>
                        <w:div w:id="8373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368">
                  <w:marLeft w:val="0"/>
                  <w:marRight w:val="0"/>
                  <w:marTop w:val="0"/>
                  <w:marBottom w:val="300"/>
                  <w:divBdr>
                    <w:top w:val="none" w:sz="0" w:space="0" w:color="auto"/>
                    <w:left w:val="none" w:sz="0" w:space="0" w:color="auto"/>
                    <w:bottom w:val="none" w:sz="0" w:space="0" w:color="auto"/>
                    <w:right w:val="none" w:sz="0" w:space="0" w:color="auto"/>
                  </w:divBdr>
                  <w:divsChild>
                    <w:div w:id="896627895">
                      <w:marLeft w:val="0"/>
                      <w:marRight w:val="0"/>
                      <w:marTop w:val="0"/>
                      <w:marBottom w:val="0"/>
                      <w:divBdr>
                        <w:top w:val="none" w:sz="0" w:space="0" w:color="auto"/>
                        <w:left w:val="none" w:sz="0" w:space="0" w:color="auto"/>
                        <w:bottom w:val="none" w:sz="0" w:space="0" w:color="auto"/>
                        <w:right w:val="none" w:sz="0" w:space="0" w:color="auto"/>
                      </w:divBdr>
                    </w:div>
                    <w:div w:id="823006550">
                      <w:marLeft w:val="0"/>
                      <w:marRight w:val="0"/>
                      <w:marTop w:val="0"/>
                      <w:marBottom w:val="0"/>
                      <w:divBdr>
                        <w:top w:val="none" w:sz="0" w:space="0" w:color="auto"/>
                        <w:left w:val="none" w:sz="0" w:space="0" w:color="auto"/>
                        <w:bottom w:val="none" w:sz="0" w:space="0" w:color="auto"/>
                        <w:right w:val="none" w:sz="0" w:space="0" w:color="auto"/>
                      </w:divBdr>
                      <w:divsChild>
                        <w:div w:id="1220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063">
                  <w:marLeft w:val="0"/>
                  <w:marRight w:val="0"/>
                  <w:marTop w:val="0"/>
                  <w:marBottom w:val="300"/>
                  <w:divBdr>
                    <w:top w:val="none" w:sz="0" w:space="0" w:color="auto"/>
                    <w:left w:val="none" w:sz="0" w:space="0" w:color="auto"/>
                    <w:bottom w:val="none" w:sz="0" w:space="0" w:color="auto"/>
                    <w:right w:val="none" w:sz="0" w:space="0" w:color="auto"/>
                  </w:divBdr>
                  <w:divsChild>
                    <w:div w:id="826827838">
                      <w:marLeft w:val="0"/>
                      <w:marRight w:val="0"/>
                      <w:marTop w:val="0"/>
                      <w:marBottom w:val="0"/>
                      <w:divBdr>
                        <w:top w:val="none" w:sz="0" w:space="0" w:color="auto"/>
                        <w:left w:val="none" w:sz="0" w:space="0" w:color="auto"/>
                        <w:bottom w:val="none" w:sz="0" w:space="0" w:color="auto"/>
                        <w:right w:val="none" w:sz="0" w:space="0" w:color="auto"/>
                      </w:divBdr>
                    </w:div>
                    <w:div w:id="1901862695">
                      <w:marLeft w:val="0"/>
                      <w:marRight w:val="0"/>
                      <w:marTop w:val="0"/>
                      <w:marBottom w:val="0"/>
                      <w:divBdr>
                        <w:top w:val="none" w:sz="0" w:space="0" w:color="auto"/>
                        <w:left w:val="none" w:sz="0" w:space="0" w:color="auto"/>
                        <w:bottom w:val="none" w:sz="0" w:space="0" w:color="auto"/>
                        <w:right w:val="none" w:sz="0" w:space="0" w:color="auto"/>
                      </w:divBdr>
                      <w:divsChild>
                        <w:div w:id="1912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394">
                  <w:marLeft w:val="0"/>
                  <w:marRight w:val="0"/>
                  <w:marTop w:val="0"/>
                  <w:marBottom w:val="300"/>
                  <w:divBdr>
                    <w:top w:val="none" w:sz="0" w:space="0" w:color="auto"/>
                    <w:left w:val="none" w:sz="0" w:space="0" w:color="auto"/>
                    <w:bottom w:val="none" w:sz="0" w:space="0" w:color="auto"/>
                    <w:right w:val="none" w:sz="0" w:space="0" w:color="auto"/>
                  </w:divBdr>
                  <w:divsChild>
                    <w:div w:id="1878083947">
                      <w:marLeft w:val="0"/>
                      <w:marRight w:val="0"/>
                      <w:marTop w:val="0"/>
                      <w:marBottom w:val="0"/>
                      <w:divBdr>
                        <w:top w:val="none" w:sz="0" w:space="0" w:color="auto"/>
                        <w:left w:val="none" w:sz="0" w:space="0" w:color="auto"/>
                        <w:bottom w:val="none" w:sz="0" w:space="0" w:color="auto"/>
                        <w:right w:val="none" w:sz="0" w:space="0" w:color="auto"/>
                      </w:divBdr>
                    </w:div>
                    <w:div w:id="2133013036">
                      <w:marLeft w:val="0"/>
                      <w:marRight w:val="0"/>
                      <w:marTop w:val="0"/>
                      <w:marBottom w:val="0"/>
                      <w:divBdr>
                        <w:top w:val="none" w:sz="0" w:space="0" w:color="auto"/>
                        <w:left w:val="none" w:sz="0" w:space="0" w:color="auto"/>
                        <w:bottom w:val="none" w:sz="0" w:space="0" w:color="auto"/>
                        <w:right w:val="none" w:sz="0" w:space="0" w:color="auto"/>
                      </w:divBdr>
                      <w:divsChild>
                        <w:div w:id="17435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1384">
                  <w:marLeft w:val="0"/>
                  <w:marRight w:val="0"/>
                  <w:marTop w:val="0"/>
                  <w:marBottom w:val="300"/>
                  <w:divBdr>
                    <w:top w:val="none" w:sz="0" w:space="0" w:color="auto"/>
                    <w:left w:val="none" w:sz="0" w:space="0" w:color="auto"/>
                    <w:bottom w:val="none" w:sz="0" w:space="0" w:color="auto"/>
                    <w:right w:val="none" w:sz="0" w:space="0" w:color="auto"/>
                  </w:divBdr>
                  <w:divsChild>
                    <w:div w:id="819494022">
                      <w:marLeft w:val="0"/>
                      <w:marRight w:val="0"/>
                      <w:marTop w:val="0"/>
                      <w:marBottom w:val="0"/>
                      <w:divBdr>
                        <w:top w:val="none" w:sz="0" w:space="0" w:color="auto"/>
                        <w:left w:val="none" w:sz="0" w:space="0" w:color="auto"/>
                        <w:bottom w:val="none" w:sz="0" w:space="0" w:color="auto"/>
                        <w:right w:val="none" w:sz="0" w:space="0" w:color="auto"/>
                      </w:divBdr>
                    </w:div>
                    <w:div w:id="918948162">
                      <w:marLeft w:val="0"/>
                      <w:marRight w:val="0"/>
                      <w:marTop w:val="0"/>
                      <w:marBottom w:val="0"/>
                      <w:divBdr>
                        <w:top w:val="none" w:sz="0" w:space="0" w:color="auto"/>
                        <w:left w:val="none" w:sz="0" w:space="0" w:color="auto"/>
                        <w:bottom w:val="none" w:sz="0" w:space="0" w:color="auto"/>
                        <w:right w:val="none" w:sz="0" w:space="0" w:color="auto"/>
                      </w:divBdr>
                      <w:divsChild>
                        <w:div w:id="30694208">
                          <w:marLeft w:val="0"/>
                          <w:marRight w:val="0"/>
                          <w:marTop w:val="0"/>
                          <w:marBottom w:val="0"/>
                          <w:divBdr>
                            <w:top w:val="none" w:sz="0" w:space="0" w:color="auto"/>
                            <w:left w:val="none" w:sz="0" w:space="0" w:color="auto"/>
                            <w:bottom w:val="none" w:sz="0" w:space="0" w:color="auto"/>
                            <w:right w:val="none" w:sz="0" w:space="0" w:color="auto"/>
                          </w:divBdr>
                          <w:divsChild>
                            <w:div w:id="1094327686">
                              <w:marLeft w:val="0"/>
                              <w:marRight w:val="0"/>
                              <w:marTop w:val="0"/>
                              <w:marBottom w:val="75"/>
                              <w:divBdr>
                                <w:top w:val="none" w:sz="0" w:space="0" w:color="auto"/>
                                <w:left w:val="none" w:sz="0" w:space="0" w:color="auto"/>
                                <w:bottom w:val="none" w:sz="0" w:space="0" w:color="auto"/>
                                <w:right w:val="none" w:sz="0" w:space="0" w:color="auto"/>
                              </w:divBdr>
                            </w:div>
                            <w:div w:id="72093542">
                              <w:marLeft w:val="0"/>
                              <w:marRight w:val="0"/>
                              <w:marTop w:val="0"/>
                              <w:marBottom w:val="75"/>
                              <w:divBdr>
                                <w:top w:val="none" w:sz="0" w:space="0" w:color="auto"/>
                                <w:left w:val="none" w:sz="0" w:space="0" w:color="auto"/>
                                <w:bottom w:val="none" w:sz="0" w:space="0" w:color="auto"/>
                                <w:right w:val="none" w:sz="0" w:space="0" w:color="auto"/>
                              </w:divBdr>
                            </w:div>
                            <w:div w:id="264651505">
                              <w:marLeft w:val="0"/>
                              <w:marRight w:val="0"/>
                              <w:marTop w:val="0"/>
                              <w:marBottom w:val="75"/>
                              <w:divBdr>
                                <w:top w:val="none" w:sz="0" w:space="0" w:color="auto"/>
                                <w:left w:val="none" w:sz="0" w:space="0" w:color="auto"/>
                                <w:bottom w:val="none" w:sz="0" w:space="0" w:color="auto"/>
                                <w:right w:val="none" w:sz="0" w:space="0" w:color="auto"/>
                              </w:divBdr>
                            </w:div>
                            <w:div w:id="890460556">
                              <w:marLeft w:val="0"/>
                              <w:marRight w:val="0"/>
                              <w:marTop w:val="0"/>
                              <w:marBottom w:val="75"/>
                              <w:divBdr>
                                <w:top w:val="none" w:sz="0" w:space="0" w:color="auto"/>
                                <w:left w:val="none" w:sz="0" w:space="0" w:color="auto"/>
                                <w:bottom w:val="none" w:sz="0" w:space="0" w:color="auto"/>
                                <w:right w:val="none" w:sz="0" w:space="0" w:color="auto"/>
                              </w:divBdr>
                            </w:div>
                            <w:div w:id="479419950">
                              <w:marLeft w:val="0"/>
                              <w:marRight w:val="0"/>
                              <w:marTop w:val="0"/>
                              <w:marBottom w:val="75"/>
                              <w:divBdr>
                                <w:top w:val="none" w:sz="0" w:space="0" w:color="auto"/>
                                <w:left w:val="none" w:sz="0" w:space="0" w:color="auto"/>
                                <w:bottom w:val="none" w:sz="0" w:space="0" w:color="auto"/>
                                <w:right w:val="none" w:sz="0" w:space="0" w:color="auto"/>
                              </w:divBdr>
                            </w:div>
                            <w:div w:id="284387846">
                              <w:marLeft w:val="0"/>
                              <w:marRight w:val="0"/>
                              <w:marTop w:val="0"/>
                              <w:marBottom w:val="75"/>
                              <w:divBdr>
                                <w:top w:val="none" w:sz="0" w:space="0" w:color="auto"/>
                                <w:left w:val="none" w:sz="0" w:space="0" w:color="auto"/>
                                <w:bottom w:val="none" w:sz="0" w:space="0" w:color="auto"/>
                                <w:right w:val="none" w:sz="0" w:space="0" w:color="auto"/>
                              </w:divBdr>
                            </w:div>
                            <w:div w:id="436876106">
                              <w:marLeft w:val="0"/>
                              <w:marRight w:val="0"/>
                              <w:marTop w:val="0"/>
                              <w:marBottom w:val="75"/>
                              <w:divBdr>
                                <w:top w:val="none" w:sz="0" w:space="0" w:color="auto"/>
                                <w:left w:val="none" w:sz="0" w:space="0" w:color="auto"/>
                                <w:bottom w:val="none" w:sz="0" w:space="0" w:color="auto"/>
                                <w:right w:val="none" w:sz="0" w:space="0" w:color="auto"/>
                              </w:divBdr>
                            </w:div>
                            <w:div w:id="1009454515">
                              <w:marLeft w:val="0"/>
                              <w:marRight w:val="0"/>
                              <w:marTop w:val="0"/>
                              <w:marBottom w:val="75"/>
                              <w:divBdr>
                                <w:top w:val="none" w:sz="0" w:space="0" w:color="auto"/>
                                <w:left w:val="none" w:sz="0" w:space="0" w:color="auto"/>
                                <w:bottom w:val="none" w:sz="0" w:space="0" w:color="auto"/>
                                <w:right w:val="none" w:sz="0" w:space="0" w:color="auto"/>
                              </w:divBdr>
                            </w:div>
                            <w:div w:id="1266423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5956356">
                  <w:marLeft w:val="0"/>
                  <w:marRight w:val="0"/>
                  <w:marTop w:val="0"/>
                  <w:marBottom w:val="300"/>
                  <w:divBdr>
                    <w:top w:val="none" w:sz="0" w:space="0" w:color="auto"/>
                    <w:left w:val="none" w:sz="0" w:space="0" w:color="auto"/>
                    <w:bottom w:val="none" w:sz="0" w:space="0" w:color="auto"/>
                    <w:right w:val="none" w:sz="0" w:space="0" w:color="auto"/>
                  </w:divBdr>
                  <w:divsChild>
                    <w:div w:id="285746453">
                      <w:marLeft w:val="0"/>
                      <w:marRight w:val="0"/>
                      <w:marTop w:val="0"/>
                      <w:marBottom w:val="0"/>
                      <w:divBdr>
                        <w:top w:val="none" w:sz="0" w:space="0" w:color="auto"/>
                        <w:left w:val="none" w:sz="0" w:space="0" w:color="auto"/>
                        <w:bottom w:val="none" w:sz="0" w:space="0" w:color="auto"/>
                        <w:right w:val="none" w:sz="0" w:space="0" w:color="auto"/>
                      </w:divBdr>
                    </w:div>
                    <w:div w:id="1163660658">
                      <w:marLeft w:val="0"/>
                      <w:marRight w:val="0"/>
                      <w:marTop w:val="0"/>
                      <w:marBottom w:val="0"/>
                      <w:divBdr>
                        <w:top w:val="none" w:sz="0" w:space="0" w:color="auto"/>
                        <w:left w:val="none" w:sz="0" w:space="0" w:color="auto"/>
                        <w:bottom w:val="none" w:sz="0" w:space="0" w:color="auto"/>
                        <w:right w:val="none" w:sz="0" w:space="0" w:color="auto"/>
                      </w:divBdr>
                      <w:divsChild>
                        <w:div w:id="15614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2031">
                  <w:marLeft w:val="0"/>
                  <w:marRight w:val="0"/>
                  <w:marTop w:val="0"/>
                  <w:marBottom w:val="300"/>
                  <w:divBdr>
                    <w:top w:val="none" w:sz="0" w:space="0" w:color="auto"/>
                    <w:left w:val="none" w:sz="0" w:space="0" w:color="auto"/>
                    <w:bottom w:val="none" w:sz="0" w:space="0" w:color="auto"/>
                    <w:right w:val="none" w:sz="0" w:space="0" w:color="auto"/>
                  </w:divBdr>
                  <w:divsChild>
                    <w:div w:id="353960386">
                      <w:marLeft w:val="0"/>
                      <w:marRight w:val="0"/>
                      <w:marTop w:val="0"/>
                      <w:marBottom w:val="0"/>
                      <w:divBdr>
                        <w:top w:val="none" w:sz="0" w:space="0" w:color="auto"/>
                        <w:left w:val="none" w:sz="0" w:space="0" w:color="auto"/>
                        <w:bottom w:val="none" w:sz="0" w:space="0" w:color="auto"/>
                        <w:right w:val="none" w:sz="0" w:space="0" w:color="auto"/>
                      </w:divBdr>
                    </w:div>
                    <w:div w:id="1143080682">
                      <w:marLeft w:val="0"/>
                      <w:marRight w:val="0"/>
                      <w:marTop w:val="0"/>
                      <w:marBottom w:val="0"/>
                      <w:divBdr>
                        <w:top w:val="none" w:sz="0" w:space="0" w:color="auto"/>
                        <w:left w:val="none" w:sz="0" w:space="0" w:color="auto"/>
                        <w:bottom w:val="none" w:sz="0" w:space="0" w:color="auto"/>
                        <w:right w:val="none" w:sz="0" w:space="0" w:color="auto"/>
                      </w:divBdr>
                      <w:divsChild>
                        <w:div w:id="12993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07261">
          <w:marLeft w:val="-225"/>
          <w:marRight w:val="-225"/>
          <w:marTop w:val="0"/>
          <w:marBottom w:val="0"/>
          <w:divBdr>
            <w:top w:val="none" w:sz="0" w:space="0" w:color="auto"/>
            <w:left w:val="none" w:sz="0" w:space="0" w:color="auto"/>
            <w:bottom w:val="none" w:sz="0" w:space="0" w:color="auto"/>
            <w:right w:val="none" w:sz="0" w:space="0" w:color="auto"/>
          </w:divBdr>
          <w:divsChild>
            <w:div w:id="1862159907">
              <w:marLeft w:val="0"/>
              <w:marRight w:val="0"/>
              <w:marTop w:val="0"/>
              <w:marBottom w:val="0"/>
              <w:divBdr>
                <w:top w:val="none" w:sz="0" w:space="0" w:color="auto"/>
                <w:left w:val="none" w:sz="0" w:space="0" w:color="auto"/>
                <w:bottom w:val="none" w:sz="0" w:space="0" w:color="auto"/>
                <w:right w:val="none" w:sz="0" w:space="0" w:color="auto"/>
              </w:divBdr>
            </w:div>
            <w:div w:id="9637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aqa.gov.ua/api/File/7605/Get" TargetMode="External"/><Relationship Id="rId13" Type="http://schemas.openxmlformats.org/officeDocument/2006/relationships/hyperlink" Target="https://bo.naqa.gov.ua/api/File/10434/Get" TargetMode="External"/><Relationship Id="rId18" Type="http://schemas.openxmlformats.org/officeDocument/2006/relationships/hyperlink" Target="https://bo.naqa.gov.ua/api/File/9871/Get" TargetMode="External"/><Relationship Id="rId3" Type="http://schemas.openxmlformats.org/officeDocument/2006/relationships/webSettings" Target="webSettings.xml"/><Relationship Id="rId21" Type="http://schemas.openxmlformats.org/officeDocument/2006/relationships/hyperlink" Target="https://bo.naqa.gov.ua/api/File/9874/Get" TargetMode="External"/><Relationship Id="rId7" Type="http://schemas.openxmlformats.org/officeDocument/2006/relationships/hyperlink" Target="https://bo.naqa.gov.ua/api/File/7604/Get" TargetMode="External"/><Relationship Id="rId12" Type="http://schemas.openxmlformats.org/officeDocument/2006/relationships/hyperlink" Target="http://www.kspu.edu/About/Faculty/Faculty_of_biolog_geograf_ecol/DepartmentofHumanBiologyandImmunology/Educational_and_professional_programs.aspx" TargetMode="External"/><Relationship Id="rId17" Type="http://schemas.openxmlformats.org/officeDocument/2006/relationships/hyperlink" Target="https://bo.naqa.gov.ua/api/File/9869/Get" TargetMode="External"/><Relationship Id="rId2" Type="http://schemas.openxmlformats.org/officeDocument/2006/relationships/settings" Target="settings.xml"/><Relationship Id="rId16" Type="http://schemas.openxmlformats.org/officeDocument/2006/relationships/hyperlink" Target="https://bo.naqa.gov.ua/api/File/9868/Get" TargetMode="External"/><Relationship Id="rId20" Type="http://schemas.openxmlformats.org/officeDocument/2006/relationships/hyperlink" Target="https://bo.naqa.gov.ua/api/File/9873/Get" TargetMode="External"/><Relationship Id="rId1" Type="http://schemas.openxmlformats.org/officeDocument/2006/relationships/styles" Target="styles.xml"/><Relationship Id="rId6" Type="http://schemas.openxmlformats.org/officeDocument/2006/relationships/hyperlink" Target="https://bo.naqa.gov.ua/api/File/7603/Get" TargetMode="External"/><Relationship Id="rId11" Type="http://schemas.openxmlformats.org/officeDocument/2006/relationships/hyperlink" Target="http://www.kspu.edu/About/Faculty/Faculty_of_biolog_geograf_ecol/DepartmentofHumanBiologyandImmunology.aspx" TargetMode="External"/><Relationship Id="rId5" Type="http://schemas.openxmlformats.org/officeDocument/2006/relationships/hyperlink" Target="https://bo.naqa.gov.ua/api/File/7602/Get" TargetMode="External"/><Relationship Id="rId15" Type="http://schemas.openxmlformats.org/officeDocument/2006/relationships/hyperlink" Target="https://bo.naqa.gov.ua/api/File/9867/Get" TargetMode="External"/><Relationship Id="rId23" Type="http://schemas.openxmlformats.org/officeDocument/2006/relationships/theme" Target="theme/theme1.xml"/><Relationship Id="rId10" Type="http://schemas.openxmlformats.org/officeDocument/2006/relationships/hyperlink" Target="http://www.kspu.edu/About/DepartmentAndServices/DMethodics/EduProcess.aspx" TargetMode="External"/><Relationship Id="rId19" Type="http://schemas.openxmlformats.org/officeDocument/2006/relationships/hyperlink" Target="https://bo.naqa.gov.ua/api/File/9872/Get" TargetMode="External"/><Relationship Id="rId4" Type="http://schemas.openxmlformats.org/officeDocument/2006/relationships/hyperlink" Target="https://office.naqa.gov.ua/create" TargetMode="External"/><Relationship Id="rId9" Type="http://schemas.openxmlformats.org/officeDocument/2006/relationships/hyperlink" Target="http://www.kspu.edu/Entrant/SelectionCommittee/RulesOfEntryToKSU.aspx" TargetMode="External"/><Relationship Id="rId14" Type="http://schemas.openxmlformats.org/officeDocument/2006/relationships/hyperlink" Target="https://bo.naqa.gov.ua/api/File/10431/Ge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34</Pages>
  <Words>15983</Words>
  <Characters>91106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Лебедь</dc:creator>
  <cp:keywords/>
  <dc:description/>
  <cp:lastModifiedBy>Антон Лебедь</cp:lastModifiedBy>
  <cp:revision>2</cp:revision>
  <cp:lastPrinted>2019-12-09T09:24:00Z</cp:lastPrinted>
  <dcterms:created xsi:type="dcterms:W3CDTF">2019-12-09T08:59:00Z</dcterms:created>
  <dcterms:modified xsi:type="dcterms:W3CDTF">2019-12-09T09:26:00Z</dcterms:modified>
</cp:coreProperties>
</file>